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_rels/chart1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_____Microsoft_Excel.xlsx" ContentType="application/vnd.openxmlformats-officedocument.spreadsheetml.sheet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  <w:t xml:space="preserve">Ежегодный доклад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  <w:t xml:space="preserve">о состоянии и развитии конкурентной среды на рынках товаров и услуг муниципального образования «Конаковский район»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  <w:t>Тверской области за 2019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Введение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Настоящий доклад о состоянии и развитии конкурентной среды на рынках товаров, работ и услуг  муниципального образования «Конаковский район» Тверской области (далее - Доклад) подготовлен</w:t>
      </w:r>
      <w:bookmarkStart w:id="0" w:name="_GoBack"/>
      <w:bookmarkEnd w:id="0"/>
      <w:r>
        <w:rPr>
          <w:rFonts w:eastAsia="Times New Roman CYR" w:cs="Times New Roman" w:ascii="Times New Roman" w:hAnsi="Times New Roman"/>
          <w:sz w:val="28"/>
          <w:szCs w:val="28"/>
        </w:rPr>
        <w:t xml:space="preserve"> в соответствии с заключенным соглашением №15-СКР/17 от 25.08.2017г. между Министерством экономического развития  Тверской области и Администрацией Конаковского района Тверской области по внедрению на территории МО «Конаковский район» Тверской области стандарта развития конкуренции в субъектах Российской Федерации (далее - Соглашение).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В Докладе представлены результаты мониторингов состояния конкуренции на рынках товаров, работ и услуг района.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Основной</w:t>
      </w: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sz w:val="28"/>
          <w:szCs w:val="28"/>
        </w:rPr>
        <w:t xml:space="preserve">целью проведения мониторинга является оценка состояния и развития конкурентной среды на рынках товаров, работ и услуг МО «Конаковский район» </w:t>
      </w:r>
      <w:r>
        <w:rPr>
          <w:rFonts w:eastAsia="Times New Roman CYR" w:cs="Times New Roman" w:ascii="Times New Roman" w:hAnsi="Times New Roman"/>
          <w:color w:val="000000"/>
          <w:sz w:val="28"/>
          <w:szCs w:val="28"/>
        </w:rPr>
        <w:t>Тверской области</w:t>
      </w:r>
      <w:r>
        <w:rPr>
          <w:rFonts w:eastAsia="Times New Roman CYR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Для достижения указанной цели в процессе мониторинга были поставлены и решены следующие задачи: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выявлены ключевые факторы, влияющие на удовлетворенность субъектов предпринимательской деятельности условиями ведения бизнеса;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определен уровень удовлетворенности населения и предпринимателей состоянием конкурентной среды региона;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исследованы административные, экономические барьеры, затрудняющие предпринимательскую деятельность на рынках товаров, работ и услуг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Основным методом исследования стало проведение опросов субъектов предпринимательской деятельности и потребителей товаров, работ и услуг Конаковского района.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В соответствии с п. 5.2.5 Соглашения, Администрацией Конаковского района Тверской области в 2019г. осуществлен мониторинг: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удовлетворенности потребителей качеством товаров, работ и услуг на рынках МО «Конаковский район» Тверской области и состоянием ценовой конкуренции;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наличия (отсутствия) административных барьеров и оценки состояния конкурентной среды субъектами предпринимательской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оценка состояния конкуренции и конкурентной среды;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МО «Конаковский район» Тверской области и деятельности по содействию развитию конкуренции, размещаемой Министерством экономического развития Тверской области и Администрацией Конаковского района Тверской области;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деятельности субъектов естественных монополий на территории Конаковского района;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- деятельности хозяйствующих субъектов, доля участия МО «Конаковский район» Тверской области в которых составляет 50 и более процентов, осуществляющих деятельность на территории МО «Конаковский район» Тверской области, с обозначением объема выручки.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 Общая характеристика экономического развития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Конаковского района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Анализ конкурентной среды проведен на основе статистических данных, результатов мониторингов. Одним из основных показателей, отражающих состояние конкурентной среды, является динамика числа зарегистрированных субъектов малого и среднего предпринимательства в МО «Конаковский район» Тверской области.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Согласно данным Территориального органа Федеральной службы государственной статистики по Тверской области по состоянию на 01.01.2019г. в МО «Конаковский район» Тверской области зарегистрировано 3079 субъектов малого и среднего предпринимательства, в том числе и 2163 индивидуальных предпринимателей, включая КФХ. По сравнению с аналогичным периодом 2018г. число субъектов малого и среднего предпринимательства сократилось на 3 ед., а число индивидуальных предпринимателей (включая КФХ) - на 1 ед.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Динамика хозяйствующих субъектов представлена на рисунке 1.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/>
        <w:drawing>
          <wp:inline distT="0" distB="0" distL="0" distR="0">
            <wp:extent cx="6600190" cy="32004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i/>
          <w:i/>
          <w:sz w:val="24"/>
          <w:szCs w:val="24"/>
        </w:rPr>
      </w:pPr>
      <w:r>
        <w:rPr>
          <w:rFonts w:eastAsia="Times New Roman CYR" w:cs="Times New Roman" w:ascii="Times New Roman" w:hAnsi="Times New Roman"/>
          <w:i/>
          <w:sz w:val="24"/>
          <w:szCs w:val="24"/>
        </w:rPr>
        <w:t>Рис.1 Динамика хозяйствующих субъектов в Конаковском районе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За период с 2016 по 2018 годы наблюдается сокращение числа средних и малых предприятий на 34 ед., индивидуальных предпринимателей, включая КФХ, на 16 ед. Сокращение обусловлено экономической ситуацией в стране, изменением законодательства.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2. Основные характеристики опрошенных респондентов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2.1. Социально - демографическая характеристика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опрошенных потребителей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В опросе потребителей товаров, работ и услуг Конаковского района приняли участие 183 человека (181 чел. в 2018г), из них 70 мужчин (80 - 2018г) и 113 женщин (101 - 2018г). Основную их часть составили работающие лица старше 20 лет.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Выборка опроса потребителей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tbl>
      <w:tblPr>
        <w:tblW w:w="10348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3402"/>
        <w:gridCol w:w="851"/>
        <w:gridCol w:w="850"/>
        <w:gridCol w:w="851"/>
        <w:gridCol w:w="849"/>
        <w:gridCol w:w="994"/>
        <w:gridCol w:w="849"/>
        <w:gridCol w:w="852"/>
        <w:gridCol w:w="849"/>
      </w:tblGrid>
      <w:tr>
        <w:trPr>
          <w:trHeight w:val="1" w:hRule="atLeast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6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ПОТРЕБИТЕЛИ</w:t>
            </w:r>
          </w:p>
        </w:tc>
      </w:tr>
      <w:tr>
        <w:trPr>
          <w:trHeight w:val="1" w:hRule="atLeast"/>
        </w:trPr>
        <w:tc>
          <w:tcPr>
            <w:tcW w:w="3402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 20 лет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21 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 35 лет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 50 лет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Старше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 xml:space="preserve">51 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года</w:t>
            </w:r>
          </w:p>
        </w:tc>
      </w:tr>
      <w:tr>
        <w:trPr>
          <w:trHeight w:val="1" w:hRule="atLeast"/>
        </w:trPr>
        <w:tc>
          <w:tcPr>
            <w:tcW w:w="340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</w:tr>
      <w:tr>
        <w:trPr>
          <w:trHeight w:val="1" w:hRule="atLeast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 работающих,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45,9</w:t>
            </w:r>
          </w:p>
        </w:tc>
      </w:tr>
      <w:tr>
        <w:trPr>
          <w:trHeight w:val="1" w:hRule="atLeast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 безработных,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0,6</w:t>
            </w:r>
          </w:p>
        </w:tc>
      </w:tr>
      <w:tr>
        <w:trPr>
          <w:trHeight w:val="1" w:hRule="atLeast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8"/>
                <w:tab w:val="left" w:pos="3212" w:leader="none"/>
              </w:tabs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 студентов/учащихся,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" w:hRule="atLeast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 пенсионеров,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35,5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</w:rPr>
        <w:tab/>
      </w:r>
      <w:r>
        <w:rPr>
          <w:rFonts w:eastAsia="Times New Roman CYR" w:cs="Times New Roman" w:ascii="Times New Roman" w:hAnsi="Times New Roman"/>
          <w:sz w:val="28"/>
          <w:szCs w:val="28"/>
        </w:rPr>
        <w:t>Динамика показателей связана с изменением контингента опрошенных потребителей товаров, работ и услуг.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ab/>
        <w:t>Основную часть опрошенных составили респонденты с 1-2 детьми.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Таблица 2 </w:t>
      </w:r>
    </w:p>
    <w:tbl>
      <w:tblPr>
        <w:tblStyle w:val="a6"/>
        <w:tblW w:w="105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1348"/>
        <w:gridCol w:w="1476"/>
        <w:gridCol w:w="2166"/>
        <w:gridCol w:w="2054"/>
      </w:tblGrid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Наличие детей</w:t>
            </w:r>
          </w:p>
        </w:tc>
        <w:tc>
          <w:tcPr>
            <w:tcW w:w="2824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4220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% от общего числа ответивших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Нет детей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16,4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 ребенок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 ребенка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46,5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 и более детей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7,1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По данным опроса потребителей товаров, работ и услуг примерный среднемесячный доход в расчете на одного члена семьи, как и в 2018г., составляет от 10 до 20 тыс. рублей. Так же из Таблицы 3 видно, что в 2019г сократилась доля семей со среднемесячным доходом от 20 до 30 тыс. рублей.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sz w:val="28"/>
          <w:szCs w:val="28"/>
        </w:rPr>
        <w:t>Таблица 3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rFonts w:ascii="Times New Roman" w:hAnsi="Times New Roman" w:eastAsia="Times New Roman CYR" w:cs="Times New Roman"/>
          <w:sz w:val="16"/>
          <w:szCs w:val="16"/>
        </w:rPr>
      </w:pPr>
      <w:r>
        <w:rPr>
          <w:rFonts w:eastAsia="Times New Roman CYR" w:cs="Times New Roman" w:ascii="Times New Roman" w:hAnsi="Times New Roman"/>
          <w:sz w:val="16"/>
          <w:szCs w:val="16"/>
        </w:rPr>
      </w:r>
    </w:p>
    <w:tbl>
      <w:tblPr>
        <w:tblStyle w:val="a6"/>
        <w:tblW w:w="105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1348"/>
        <w:gridCol w:w="1476"/>
        <w:gridCol w:w="2166"/>
        <w:gridCol w:w="2054"/>
      </w:tblGrid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Среднемесячный доход семьи</w:t>
            </w:r>
          </w:p>
        </w:tc>
        <w:tc>
          <w:tcPr>
            <w:tcW w:w="2824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4220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% от общего числа ответивших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10 тыс. рублей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9,8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10 до 20 тыс. рублей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62,3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20 до 30 тыс. рублей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24,6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30 до 40 тыс. рублей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2,2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45 до 60 тыс. рублей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1,1</w:t>
            </w:r>
          </w:p>
        </w:tc>
      </w:tr>
      <w:tr>
        <w:trPr/>
        <w:tc>
          <w:tcPr>
            <w:tcW w:w="3521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Более 60 тыс. рублей</w:t>
            </w:r>
          </w:p>
        </w:tc>
        <w:tc>
          <w:tcPr>
            <w:tcW w:w="1348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5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2.2. Характеристика бизнеса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45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В опросе субъектов предпринимательства приняли участие 196 респондентов (в 2018г. - 167 респондентов), занятых в более чем в 18 видах деятельности. Основную их часть, как и в 2018г., составили представители малого бизнеса сферы розничной торговли, собственники бизнеса - индивидуальные предприниматели, осуществляющие свою деятельность более 5 лет, с численностью сотрудников до 15 человек и с величиной годового дохода до 120 млн. руб. </w:t>
      </w:r>
    </w:p>
    <w:p>
      <w:pPr>
        <w:pStyle w:val="Normal"/>
        <w:spacing w:lineRule="auto" w:line="240" w:before="0" w:after="0"/>
        <w:ind w:firstLine="5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4</w:t>
      </w:r>
    </w:p>
    <w:p>
      <w:pPr>
        <w:pStyle w:val="Normal"/>
        <w:spacing w:lineRule="auto" w:line="240" w:before="0" w:after="0"/>
        <w:ind w:firstLine="5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Выборка опроса по видам деятельности</w:t>
      </w:r>
    </w:p>
    <w:p>
      <w:pPr>
        <w:pStyle w:val="Normal"/>
        <w:spacing w:lineRule="auto" w:line="240" w:before="0" w:after="0"/>
        <w:ind w:firstLine="5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CellMar>
          <w:top w:w="0" w:type="dxa"/>
          <w:left w:w="9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00"/>
        <w:gridCol w:w="7304"/>
        <w:gridCol w:w="1191"/>
        <w:gridCol w:w="1392"/>
      </w:tblGrid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51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51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2018г.,%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2019г.,%</w:t>
            </w:r>
          </w:p>
        </w:tc>
      </w:tr>
      <w:tr>
        <w:trPr>
          <w:trHeight w:val="38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8,2</w:t>
            </w:r>
          </w:p>
        </w:tc>
      </w:tr>
      <w:tr>
        <w:trPr>
          <w:trHeight w:val="6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3,6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3,8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Торговля автотранспортными средствами и мотоциклами,  обслуживание и ремонт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Розничная торговля (кроме торговли автотранспортными средствами и мотоциклами)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48,5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4,1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4,1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1,5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1,5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2,6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Другое 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пожалуйста, укажите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15,3</w:t>
            </w:r>
          </w:p>
        </w:tc>
      </w:tr>
    </w:tbl>
    <w:p>
      <w:pPr>
        <w:pStyle w:val="Normal"/>
        <w:spacing w:lineRule="auto" w:line="240" w:before="0" w:after="0"/>
        <w:ind w:firstLine="5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5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Характеристика субъектов предпринимательской деятельности,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участвовавших в опросе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tbl>
      <w:tblPr>
        <w:tblW w:w="10207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4961"/>
        <w:gridCol w:w="2638"/>
        <w:gridCol w:w="1190"/>
        <w:gridCol w:w="1417"/>
      </w:tblGrid>
      <w:tr>
        <w:trPr>
          <w:trHeight w:val="1" w:hRule="atLeast"/>
        </w:trPr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2018г, 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2019г, %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В течение какого периода времени  ваш бизнес осуществляет свою деятельность?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27,0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28,2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28,6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53,9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43,4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Какова численность сотрудников вашей организации в настоящее время?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 15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83,7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16 до 100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8,7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101 до 250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251 до 1000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4,1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Свыше 1000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Какова примерная величина годового оборота бизнеса, который вы представляете?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 120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77,3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89,3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120 до 800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От 800 до 2000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1" w:hRule="atLeast"/>
        </w:trPr>
        <w:tc>
          <w:tcPr>
            <w:tcW w:w="4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Более 2000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3. Информация о результатах опросов хозяйствующих субъектов и потребителей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Основным методом исследования стало проведение опросов субъектов предпринимательской деятельности и потребителей товаров, работ и услуг Конаковского района.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 xml:space="preserve">По результатам опроса потребителей в 2019 году организации, предоставляющие товары, работы и услуги на рынках Конаковского  района, распределены следующим образом: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Таблица  6</w:t>
      </w:r>
    </w:p>
    <w:tbl>
      <w:tblPr>
        <w:tblW w:w="10596" w:type="dxa"/>
        <w:jc w:val="left"/>
        <w:tblInd w:w="-18" w:type="dxa"/>
        <w:tblCellMar>
          <w:top w:w="0" w:type="dxa"/>
          <w:left w:w="88" w:type="dxa"/>
          <w:bottom w:w="0" w:type="dxa"/>
          <w:right w:w="88" w:type="dxa"/>
        </w:tblCellMar>
        <w:tblLook w:firstRow="0" w:noVBand="0" w:lastRow="0" w:firstColumn="0" w:lastColumn="0" w:noHBand="0" w:val="0000"/>
      </w:tblPr>
      <w:tblGrid>
        <w:gridCol w:w="4075"/>
        <w:gridCol w:w="851"/>
        <w:gridCol w:w="708"/>
        <w:gridCol w:w="850"/>
        <w:gridCol w:w="710"/>
        <w:gridCol w:w="850"/>
        <w:gridCol w:w="851"/>
        <w:gridCol w:w="850"/>
        <w:gridCol w:w="850"/>
      </w:tblGrid>
      <w:tr>
        <w:trPr>
          <w:trHeight w:val="655" w:hRule="atLeast"/>
        </w:trPr>
        <w:tc>
          <w:tcPr>
            <w:tcW w:w="40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Избыточно</w:t>
            </w:r>
          </w:p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(много), в %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Достаточно, в %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Мало, в % 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Нет совсем, в %</w:t>
            </w:r>
          </w:p>
        </w:tc>
      </w:tr>
      <w:tr>
        <w:trPr>
          <w:trHeight w:val="382" w:hRule="atLeast"/>
        </w:trPr>
        <w:tc>
          <w:tcPr>
            <w:tcW w:w="40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  <w:b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56,9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1,6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48,7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15,8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50,4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26,0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2,7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12,0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10,3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47,0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1,6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33,1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перевозок пассажиров наземным транспортом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7,2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19,9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47,6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31,1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1,6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26,0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51,4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45,9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3,8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46,4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44,9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Из представленной таблицы видно, что большинство респондентов считают достаточным количество организаций, предоставляющих товары, работы и услуги на рынках Конаковского района Тверской области.</w:t>
      </w:r>
      <w:r>
        <w:rPr/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мнению опрошенных, количество организаций на рынке</w:t>
      </w:r>
      <w:r>
        <w:rPr>
          <w:rFonts w:eastAsia="Times New Roman CYR" w:cs="Times New Roman" w:ascii="Times New Roman" w:hAnsi="Times New Roman"/>
          <w:sz w:val="28"/>
          <w:szCs w:val="28"/>
        </w:rPr>
        <w:t xml:space="preserve"> розничной торговли</w:t>
      </w:r>
      <w:r>
        <w:rPr>
          <w:rFonts w:cs="Times New Roman" w:ascii="Times New Roman" w:hAnsi="Times New Roman"/>
          <w:sz w:val="28"/>
          <w:szCs w:val="28"/>
        </w:rPr>
        <w:t xml:space="preserve"> избыточно или достаточно (44,7% и 37,2% соответственно).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Вместе с тем, значительная доля потребителей сочли недостаточным количество организаций, представляющих следующие рынки: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«Рынок услуг детского отдыха и оздоровления» - 48,7%;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«Рынок медицинских услуг» - 61,7%.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Сложная ситуация сложилась на рынке услуг психолого-педагогического сопровождения детей с ограниченными возможностями здоровья: 66,7% респондентов испытали затруднения при выборе ответа, 11,5% - считают количество организаций да данном рынке достаточным, 9,8% -  считает, что их мало, 12,0% респондентов считает, что организации, предоставляющие данный вид услуг, отсутствуют.</w:t>
      </w:r>
    </w:p>
    <w:p>
      <w:pPr>
        <w:pStyle w:val="Normal"/>
        <w:spacing w:lineRule="auto" w:line="240" w:before="0" w:after="0"/>
        <w:ind w:firstLine="45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3.1. Удовлетворенность качеством, ценами и возможностью выбора товаров, работ и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ab/>
      </w:r>
      <w:r>
        <w:rPr>
          <w:rFonts w:eastAsia="Times New Roman CYR" w:cs="Times New Roman" w:ascii="Times New Roman" w:hAnsi="Times New Roman"/>
          <w:bCs/>
          <w:sz w:val="28"/>
          <w:szCs w:val="28"/>
        </w:rPr>
        <w:t>Результаты опроса потребителей в 2019 году организации, предоставляющие товары, работы и услуги на рынках Конаковского района, распределены следующим образом: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Таблица 7</w:t>
      </w:r>
    </w:p>
    <w:tbl>
      <w:tblPr>
        <w:tblW w:w="10596" w:type="dxa"/>
        <w:jc w:val="left"/>
        <w:tblInd w:w="-18" w:type="dxa"/>
        <w:tblCellMar>
          <w:top w:w="0" w:type="dxa"/>
          <w:left w:w="88" w:type="dxa"/>
          <w:bottom w:w="0" w:type="dxa"/>
          <w:right w:w="88" w:type="dxa"/>
        </w:tblCellMar>
        <w:tblLook w:firstRow="0" w:noVBand="0" w:lastRow="0" w:firstColumn="0" w:lastColumn="0" w:noHBand="0" w:val="0000"/>
      </w:tblPr>
      <w:tblGrid>
        <w:gridCol w:w="3792"/>
        <w:gridCol w:w="1416"/>
        <w:gridCol w:w="1418"/>
        <w:gridCol w:w="1134"/>
        <w:gridCol w:w="1260"/>
        <w:gridCol w:w="1575"/>
      </w:tblGrid>
      <w:tr>
        <w:trPr>
          <w:trHeight w:val="814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Избыточно</w:t>
            </w:r>
          </w:p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(много), в % </w:t>
            </w:r>
          </w:p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Достаточно, в 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Мало, в %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Нет совсем, в %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Затруднились ответить, в %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18,6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18,0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19,7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4,4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66,7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11,5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16,4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6,6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перевозок пассажиров наземным транспортом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16,4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7,7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41,5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11,5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19,7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Большая часть опрошенных удовлетворены количеством организаций, которые предоставляют те или иные рынки Конаковского района.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Результаты проведенного ежегодного мониторинга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оценки удовлетворенности основными характеристиками товаров, работ и услуг на рынках Конаковского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62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Для определения удовлетворенности качеством и уровнем цен на </w:t>
      </w:r>
      <w:r>
        <w:rPr>
          <w:rFonts w:eastAsia="Times New Roman CYR" w:cs="Times New Roman" w:ascii="Times New Roman" w:hAnsi="Times New Roman"/>
          <w:bCs/>
          <w:sz w:val="28"/>
          <w:szCs w:val="28"/>
        </w:rPr>
        <w:t>товары, работы и услуги</w:t>
      </w: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sz w:val="28"/>
          <w:szCs w:val="28"/>
        </w:rPr>
        <w:t xml:space="preserve">респондентам по каждому исследуемому рынку было предложено выбрать один из следующих ответов: удовлетворен; скорее удовлетворен; скорее не удовлетворен; не удовлетворен; затрудняюсь ответить.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Доля удовлетворенных респондентов по рынку </w:t>
      </w:r>
      <w:r>
        <w:rPr>
          <w:rFonts w:eastAsia="Times New Roman CYR" w:cs="Times New Roman" w:ascii="Times New Roman" w:hAnsi="Times New Roman"/>
          <w:bCs/>
          <w:sz w:val="28"/>
          <w:szCs w:val="28"/>
        </w:rPr>
        <w:t>товаров, работ и услуг</w:t>
      </w: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sz w:val="28"/>
          <w:szCs w:val="28"/>
        </w:rPr>
        <w:t xml:space="preserve">равна сумме долей респондентов, ответивших «удовлетворен» и «скорее удовлетворен», выраженная в процентах. Доля неудовлетворенных респондентов по рынку </w:t>
      </w:r>
      <w:r>
        <w:rPr>
          <w:rFonts w:eastAsia="Times New Roman CYR" w:cs="Times New Roman" w:ascii="Times New Roman" w:hAnsi="Times New Roman"/>
          <w:bCs/>
          <w:sz w:val="28"/>
          <w:szCs w:val="28"/>
        </w:rPr>
        <w:t>товаров, работ и услуг</w:t>
      </w: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sz w:val="28"/>
          <w:szCs w:val="28"/>
        </w:rPr>
        <w:t>равна сумме долей респондентов, ответивших «скорее не удовлетворен» и «не удовлетворен», в процентном выражении.</w:t>
      </w:r>
    </w:p>
    <w:p>
      <w:pPr>
        <w:pStyle w:val="Normal"/>
        <w:spacing w:lineRule="auto" w:line="240" w:before="0" w:after="0"/>
        <w:ind w:left="-10" w:right="175" w:firstLine="698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Оценка удовлетворенности населения уровнем цен</w:t>
      </w:r>
    </w:p>
    <w:p>
      <w:pPr>
        <w:pStyle w:val="Normal"/>
        <w:spacing w:lineRule="auto" w:line="264" w:before="0" w:after="0"/>
        <w:ind w:right="527" w:hanging="0"/>
        <w:jc w:val="right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Анализ результатов опроса показал, что порядка 50% граждан не устраивает сложившийся уровень цен на рынках Конаковского района.  Данная ситуация обусловлена падением реальных доходов населения.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Ценами на товары, работы и услуги на рынках Конаковского района удовлетворено в среднем порядка 49,5% (2018г - 40%) потребителей, неудовлетворенны -  28,0% (2018г - 30%), затруднились с ответом - 22,5 % (2018г -   30%) от опрошенных респондентов.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Доля граждан, удовлетворенных уровнем цен (в разрезе рынков), представлена в таблице 7. </w:t>
      </w:r>
    </w:p>
    <w:p>
      <w:pPr>
        <w:pStyle w:val="Normal"/>
        <w:tabs>
          <w:tab w:val="clear" w:pos="708"/>
          <w:tab w:val="left" w:pos="9020" w:leader="none"/>
          <w:tab w:val="right" w:pos="10315" w:leader="none"/>
        </w:tabs>
        <w:spacing w:lineRule="auto" w:line="264" w:before="0" w:after="16"/>
        <w:ind w:left="10" w:right="175" w:hanging="10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ab/>
        <w:tab/>
        <w:t>Таблица 8</w:t>
      </w:r>
    </w:p>
    <w:p>
      <w:pPr>
        <w:pStyle w:val="Normal"/>
        <w:spacing w:lineRule="auto" w:line="264" w:before="0" w:after="4"/>
        <w:ind w:left="135" w:right="312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Удовлетворенность населения уровнем цен на товары и услуги </w:t>
      </w:r>
    </w:p>
    <w:tbl>
      <w:tblPr>
        <w:tblW w:w="10454" w:type="dxa"/>
        <w:jc w:val="left"/>
        <w:tblInd w:w="-18" w:type="dxa"/>
        <w:tblCellMar>
          <w:top w:w="0" w:type="dxa"/>
          <w:left w:w="88" w:type="dxa"/>
          <w:bottom w:w="0" w:type="dxa"/>
          <w:right w:w="88" w:type="dxa"/>
        </w:tblCellMar>
        <w:tblLook w:firstRow="0" w:noVBand="0" w:lastRow="0" w:firstColumn="0" w:lastColumn="0" w:noHBand="0" w:val="0000"/>
      </w:tblPr>
      <w:tblGrid>
        <w:gridCol w:w="5918"/>
        <w:gridCol w:w="1134"/>
        <w:gridCol w:w="1134"/>
        <w:gridCol w:w="1133"/>
        <w:gridCol w:w="1135"/>
      </w:tblGrid>
      <w:tr>
        <w:trPr>
          <w:trHeight w:val="814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  <w:t>Доля удовлетворенных,%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неудовлетворен-ных,%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 год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23,0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31,2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31,1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58,4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20,2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66,7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16,9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43,2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31,7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перевозок пассажиров наземным транспортом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33,7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49,7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27,3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78,1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14,2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30,4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19,2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60,1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25,7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46,5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21,8</w:t>
            </w:r>
          </w:p>
        </w:tc>
      </w:tr>
    </w:tbl>
    <w:p>
      <w:pPr>
        <w:pStyle w:val="Normal"/>
        <w:spacing w:lineRule="auto" w:line="240" w:before="0" w:after="7"/>
        <w:ind w:firstLine="680"/>
        <w:jc w:val="both"/>
        <w:rPr>
          <w:rFonts w:ascii="Times New Roman" w:hAnsi="Times New Roman" w:eastAsia="Times New Roman CYR" w:cs="Times New Roman"/>
          <w:sz w:val="16"/>
          <w:szCs w:val="16"/>
        </w:rPr>
      </w:pPr>
      <w:r>
        <w:rPr>
          <w:rFonts w:eastAsia="Times New Roman CYR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7"/>
        <w:ind w:firstLine="68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Мнение населения о ценах на рынках товаров, работ и услуг области по сравнению с другими регионами сложилось следующим образом: 22,5% опрошенных (26% - в 2018г) считают, что уровень цен на промышленные и продовольственные товары в Конаковском районе Тверской области выше, чем в других регионах, 52,0% (40,5% - в 2018г) - считают, что цены на услуги ЖКХ  выше, чем в других регионах, 16,2% опрошенных, считают, что тарифы на пассажироперевозки выше, чем в других регионах (в 2018г. данный показатель отсутствовал),  8,1% (13,7% в 2018г) - считают, что ц</w:t>
      </w:r>
      <w:r>
        <w:rPr>
          <w:rFonts w:cs="Times New Roman" w:ascii="Times New Roman" w:hAnsi="Times New Roman"/>
          <w:sz w:val="28"/>
          <w:szCs w:val="28"/>
        </w:rPr>
        <w:t xml:space="preserve">ены на медикаменты и медицинские услуги </w:t>
      </w:r>
      <w:r>
        <w:rPr>
          <w:rFonts w:eastAsia="Times New Roman CYR" w:cs="Times New Roman" w:ascii="Times New Roman" w:hAnsi="Times New Roman"/>
          <w:sz w:val="28"/>
          <w:szCs w:val="28"/>
        </w:rPr>
        <w:t>выше, чем в других регионах.</w:t>
      </w:r>
    </w:p>
    <w:p>
      <w:pPr>
        <w:pStyle w:val="Normal"/>
        <w:spacing w:lineRule="auto" w:line="240" w:before="0" w:after="7"/>
        <w:ind w:firstLine="68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Удовлетворенность потребителей качеством товаров, работ и услуг.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говорить о динамике удовлетворенности потребителей качеством товаров и услуг на рынке района, общая тенденция выглядит следующим образом: в последние годы на фоне спада уровня недовольства ценами наблюдается и снижение уровня критики качества товаров и услуг. В 2019 году по многим категориям товаров и услуг показатели удовлетворенности качеством выросли.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Качеством товаров, работ и услуг на рынках Конаковского района удовлетворено в среднем порядка 52,5% (2018г - 41,6%) потребителей, неудовлетворенны - 24,4% (2018г - 27,3%), затруднились с ответом - 23,1% (2018г - 31,1%) от опрошенных респондентов.</w:t>
      </w:r>
    </w:p>
    <w:p>
      <w:pPr>
        <w:pStyle w:val="Normal"/>
        <w:spacing w:lineRule="auto" w:line="240" w:before="0" w:after="0"/>
        <w:ind w:firstLine="62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Перечень рынков, сформированный по критерию удовлетворенности качеством товаров, работ и услуг, предоставлен в таблице 9.</w:t>
      </w:r>
    </w:p>
    <w:p>
      <w:pPr>
        <w:pStyle w:val="Normal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Удовлетворенность потребителей качеством товаров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tbl>
      <w:tblPr>
        <w:tblW w:w="10490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1700"/>
        <w:gridCol w:w="1277"/>
        <w:gridCol w:w="1416"/>
        <w:gridCol w:w="1277"/>
      </w:tblGrid>
      <w:tr>
        <w:trPr>
          <w:trHeight w:val="715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удовлетворенных,%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неудовлетворенных,%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 год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48,6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21,9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38,7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26,7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47,0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17,0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31,7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55,8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51,4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16,6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16,9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53,6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61,7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21,9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38,7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46,4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44,8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41,0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60,8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66,7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33,1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21,8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перевозок пассажиров наземным транспортом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50,3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40,9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27,3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60,2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78,1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20,4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12,1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48,6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17,0</w:t>
            </w:r>
          </w:p>
        </w:tc>
      </w:tr>
      <w:tr>
        <w:trPr>
          <w:trHeight w:val="39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44,8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62,8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22,9</w:t>
            </w:r>
          </w:p>
        </w:tc>
      </w:tr>
      <w:tr>
        <w:trPr>
          <w:trHeight w:val="1" w:hRule="atLeast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19,7</w:t>
            </w:r>
          </w:p>
        </w:tc>
      </w:tr>
    </w:tbl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Результаты опроса населения о качестве товаров, работ и услуг на рынках Конаковского района Тверской области и состоянии ценовой конкуренции</w:t>
      </w: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sz w:val="28"/>
          <w:szCs w:val="28"/>
        </w:rPr>
        <w:t xml:space="preserve">свидетельствуют о том, что порядка 52,5% (41,6% в 2018г.) жителей района, в целом, удовлетворены качеством товаров, работ и услуг и уровнем цен на большинстве рынков Конаковского района Тверской области.  47,5% (58,4% в 2018г.)  - составляет доля затруднившихся с ответом и неудовлетворенного населения </w:t>
      </w:r>
      <w:r>
        <w:rPr>
          <w:rFonts w:eastAsia="Times New Roman CYR" w:cs="Times New Roman" w:ascii="Times New Roman" w:hAnsi="Times New Roman"/>
          <w:bCs/>
          <w:sz w:val="28"/>
          <w:szCs w:val="28"/>
        </w:rPr>
        <w:t>качеством товаров, работ и услуг на рынках Конаковского района Тверской области и состоянием ценовой конкуренции.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Полученные данные свидетельствуют о росте уровня удовлетворенности потребителей, из чего можно сделать вывод об улучшении характеристик качества товаров, работ и услуг, а также сроков их выполнения.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Оценка удовлетворенности населения</w:t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возможностью выбора на рынках товаров и услуг</w:t>
      </w:r>
    </w:p>
    <w:p>
      <w:pPr>
        <w:pStyle w:val="Normal"/>
        <w:spacing w:lineRule="auto" w:line="264" w:before="0" w:after="0"/>
        <w:ind w:right="527" w:hanging="0"/>
        <w:jc w:val="right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Анализ результатов опроса показал, что порядка половины от числа граждан, участвовавших в опросе, не устраивает сложившаяся ситуация с выбором товаров и услуг на рынках Конаковского района.  Данная ситуация обусловлена низким качеством и однообразным ассортиментом предоставленных товаров и услуг.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Возможностью выбора товаров и услуг на рынках Конаковского района удовлетворены в среднем порядка 55,4% (2018г - 41,6%) потребителей, неудовлетворенны - 21,6% (2018г - 27,6%), затруднились с ответом -  23% (2018г -     30,5%) от опрошенных респондентов.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Доля граждан, удовлетворенных и неудовлетворенных возможностью выбора товаров и услуг (в разрезе рынков), представлена в таблице 10. </w:t>
        <w:tab/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20" w:leader="none"/>
          <w:tab w:val="right" w:pos="10315" w:leader="none"/>
        </w:tabs>
        <w:spacing w:lineRule="auto" w:line="264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10</w:t>
      </w:r>
    </w:p>
    <w:p>
      <w:pPr>
        <w:pStyle w:val="Normal"/>
        <w:spacing w:lineRule="auto" w:line="264" w:before="0" w:after="4"/>
        <w:ind w:left="135" w:right="312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Удовлетворенность населения возможностью выбора товаров и услуг</w:t>
      </w:r>
    </w:p>
    <w:p>
      <w:pPr>
        <w:pStyle w:val="Normal"/>
        <w:spacing w:lineRule="auto" w:line="264" w:before="0" w:after="4"/>
        <w:ind w:left="135" w:right="312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tbl>
      <w:tblPr>
        <w:tblW w:w="10454" w:type="dxa"/>
        <w:jc w:val="left"/>
        <w:tblInd w:w="-18" w:type="dxa"/>
        <w:tblCellMar>
          <w:top w:w="0" w:type="dxa"/>
          <w:left w:w="88" w:type="dxa"/>
          <w:bottom w:w="0" w:type="dxa"/>
          <w:right w:w="88" w:type="dxa"/>
        </w:tblCellMar>
        <w:tblLook w:firstRow="0" w:noVBand="0" w:lastRow="0" w:firstColumn="0" w:lastColumn="0" w:noHBand="0" w:val="0000"/>
      </w:tblPr>
      <w:tblGrid>
        <w:gridCol w:w="5918"/>
        <w:gridCol w:w="1134"/>
        <w:gridCol w:w="1134"/>
        <w:gridCol w:w="1133"/>
        <w:gridCol w:w="1135"/>
      </w:tblGrid>
      <w:tr>
        <w:trPr>
          <w:trHeight w:val="814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  <w:t>Доля удовлетворенных,%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Доля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неудовлетворен-ных,%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 год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29,5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50,8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25,7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48,6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37,7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24,6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14,7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68,9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14,7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30,6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73,8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12,5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перевозок пассажиров наземным транспортом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49,1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27,4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75,9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10,4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26,6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48,6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17,0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63,9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20,8</w:t>
            </w:r>
          </w:p>
        </w:tc>
      </w:tr>
      <w:tr>
        <w:trPr>
          <w:trHeight w:val="283" w:hRule="atLeast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56,3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18,6</w:t>
            </w:r>
          </w:p>
        </w:tc>
      </w:tr>
    </w:tbl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3.2. Результаты проведенного ежегодного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Предпринимателям предлагалось выбрать не более 3-х видов ограничений, из представленных 12-ти, препятствующих ведению предпринимательской деятельности. Перечень наиболее существенных административных барьеров (по оценке представителей бизнеса) представлен в таблице 11.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Наиболее существенные административные барьеры, влияющие на ведение предпринимательской деятельности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11</w:t>
      </w:r>
    </w:p>
    <w:tbl>
      <w:tblPr>
        <w:tblW w:w="10490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6803"/>
        <w:gridCol w:w="1843"/>
        <w:gridCol w:w="1844"/>
      </w:tblGrid>
      <w:tr>
        <w:trPr>
          <w:trHeight w:val="1" w:hRule="atLeast"/>
        </w:trPr>
        <w:tc>
          <w:tcPr>
            <w:tcW w:w="68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Вид барьера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ab/>
              <w:t>Доля  респондентов, %</w:t>
            </w:r>
          </w:p>
        </w:tc>
      </w:tr>
      <w:tr>
        <w:trPr>
          <w:trHeight w:val="1" w:hRule="atLeast"/>
        </w:trPr>
        <w:tc>
          <w:tcPr>
            <w:tcW w:w="68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2019г.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Высокие налоги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40,12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70,14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Нестабильность российского законодательства,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регулирующего предпринимательскую деятельность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34,73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40,31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10,78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6,12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Коррупция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8,98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2,04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7,19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5,61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5,39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2,55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1,53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выходу на рынок новых участников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1,02</w:t>
            </w:r>
          </w:p>
        </w:tc>
      </w:tr>
      <w:tr>
        <w:trPr>
          <w:trHeight w:val="1" w:hRule="atLeast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7,14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lang w:val="en-US"/>
        </w:rPr>
      </w:pPr>
      <w:r>
        <w:rPr>
          <w:rFonts w:eastAsia="Times New Roman CYR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0"/>
        <w:ind w:firstLine="62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Среди наиболее существенных барьеров для развития бизнеса участники опроса субъектов предпринимательской деятельности, также, как и в 2018г., отметили высокие налоги (70,14%) и нестабильность российского законодательства, регулирующего предпринимательскую деятельность (40,31%). </w:t>
      </w:r>
    </w:p>
    <w:p>
      <w:pPr>
        <w:pStyle w:val="Normal"/>
        <w:spacing w:lineRule="auto" w:line="240" w:before="0" w:after="0"/>
        <w:ind w:firstLine="62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Выявленные барьеры, препятствующие ведению бизнеса, субъекты предпринимательства оценили по трехзначной шкале: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 преодолимы без существенных затрат;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- преодолимы при осуществлении значительных затрат;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-непреодолимые барьеры.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Оценка преодолимости административных барьеров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12</w:t>
      </w:r>
    </w:p>
    <w:tbl>
      <w:tblPr>
        <w:tblStyle w:val="a6"/>
        <w:tblW w:w="105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5"/>
        <w:gridCol w:w="1276"/>
        <w:gridCol w:w="1243"/>
      </w:tblGrid>
      <w:tr>
        <w:trPr/>
        <w:tc>
          <w:tcPr>
            <w:tcW w:w="8045" w:type="dxa"/>
            <w:tcBorders/>
          </w:tcPr>
          <w:p>
            <w:pPr>
              <w:pStyle w:val="1"/>
              <w:shd w:val="clear" w:color="auto" w:fill="auto"/>
              <w:tabs>
                <w:tab w:val="clear" w:pos="708"/>
                <w:tab w:val="left" w:pos="5642" w:leader="none"/>
              </w:tabs>
              <w:spacing w:lineRule="auto" w:line="276"/>
              <w:ind w:left="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ответа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2018г., %</w:t>
            </w:r>
          </w:p>
        </w:tc>
        <w:tc>
          <w:tcPr>
            <w:tcW w:w="12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2019г., %</w:t>
            </w:r>
          </w:p>
        </w:tc>
      </w:tr>
      <w:tr>
        <w:trPr/>
        <w:tc>
          <w:tcPr>
            <w:tcW w:w="8045" w:type="dxa"/>
            <w:tcBorders/>
          </w:tcPr>
          <w:p>
            <w:pPr>
              <w:pStyle w:val="1"/>
              <w:shd w:val="clear" w:color="auto" w:fill="auto"/>
              <w:tabs>
                <w:tab w:val="clear" w:pos="708"/>
                <w:tab w:val="left" w:pos="5642" w:leader="none"/>
              </w:tabs>
              <w:spacing w:lineRule="auto" w:line="276"/>
              <w:ind w:left="1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непреодолимые административные барьеры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12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3,06</w:t>
            </w:r>
          </w:p>
        </w:tc>
      </w:tr>
      <w:tr>
        <w:trPr/>
        <w:tc>
          <w:tcPr>
            <w:tcW w:w="8045" w:type="dxa"/>
            <w:tcBorders/>
          </w:tcPr>
          <w:p>
            <w:pPr>
              <w:pStyle w:val="1"/>
              <w:shd w:val="clear" w:color="auto" w:fill="auto"/>
              <w:spacing w:lineRule="auto" w:line="276"/>
              <w:ind w:left="1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8,98</w:t>
            </w:r>
          </w:p>
        </w:tc>
        <w:tc>
          <w:tcPr>
            <w:tcW w:w="12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12,76</w:t>
            </w:r>
          </w:p>
        </w:tc>
      </w:tr>
      <w:tr>
        <w:trPr/>
        <w:tc>
          <w:tcPr>
            <w:tcW w:w="8045" w:type="dxa"/>
            <w:tcBorders/>
          </w:tcPr>
          <w:p>
            <w:pPr>
              <w:pStyle w:val="1"/>
              <w:shd w:val="clear" w:color="auto" w:fill="auto"/>
              <w:ind w:left="1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35,93</w:t>
            </w:r>
          </w:p>
        </w:tc>
        <w:tc>
          <w:tcPr>
            <w:tcW w:w="12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45,41</w:t>
            </w:r>
          </w:p>
        </w:tc>
      </w:tr>
      <w:tr>
        <w:trPr/>
        <w:tc>
          <w:tcPr>
            <w:tcW w:w="8045" w:type="dxa"/>
            <w:tcBorders/>
          </w:tcPr>
          <w:p>
            <w:pPr>
              <w:pStyle w:val="1"/>
              <w:shd w:val="clear" w:color="auto" w:fill="auto"/>
              <w:spacing w:lineRule="auto" w:line="276"/>
              <w:ind w:left="1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административных барьеров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2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19,90</w:t>
            </w:r>
          </w:p>
        </w:tc>
      </w:tr>
      <w:tr>
        <w:trPr/>
        <w:tc>
          <w:tcPr>
            <w:tcW w:w="8045" w:type="dxa"/>
            <w:tcBorders/>
          </w:tcPr>
          <w:p>
            <w:pPr>
              <w:pStyle w:val="1"/>
              <w:shd w:val="clear" w:color="auto" w:fill="auto"/>
              <w:spacing w:lineRule="auto" w:line="276"/>
              <w:ind w:left="1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20,36</w:t>
            </w:r>
          </w:p>
        </w:tc>
        <w:tc>
          <w:tcPr>
            <w:tcW w:w="12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17,35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Оценка респондентами преодолимости административных барьеров осталась на уровне 2018г. Большинство опрошенных считающих, что административные барьеры есть, но они преодолимы без существенных затрат, увеличилось на 26,4%. Такой рост, возможно, связан с увеличением респондентов малого бизнеса (в 2018г. число опрошенных субъектов малого и среднего бизнеса составило 167 ед., в 2019г. - 196 ед.). По вышеуказанной причине сократилось число опрошенных, затруднившихся ответить на данный вопрос и увеличились остальные показатели.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Проведен опрос предпринимателей по изменению уровня административных барьеров за последние 3 года.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Мнение предпринимателей о динамике административных барьеров в течение последних 3 лет на рынке их основного бизнеса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13</w:t>
      </w:r>
    </w:p>
    <w:tbl>
      <w:tblPr>
        <w:tblW w:w="10490" w:type="dxa"/>
        <w:jc w:val="left"/>
        <w:tblInd w:w="55" w:type="dxa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7937"/>
        <w:gridCol w:w="1134"/>
        <w:gridCol w:w="1419"/>
      </w:tblGrid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2018г., %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2019г., %</w:t>
            </w:r>
          </w:p>
        </w:tc>
      </w:tr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Бизнесу стало проще, чем раньше преодолевать административные барьеры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33,53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45,41</w:t>
            </w:r>
          </w:p>
        </w:tc>
      </w:tr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22,75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19,39</w:t>
            </w:r>
          </w:p>
        </w:tc>
      </w:tr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7,19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10,71</w:t>
            </w:r>
          </w:p>
        </w:tc>
      </w:tr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Административные барьеры были полностью устранены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5,99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</w:t>
            </w:r>
          </w:p>
        </w:tc>
      </w:tr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5,39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4,59</w:t>
            </w:r>
          </w:p>
        </w:tc>
      </w:tr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3,59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0,51</w:t>
            </w:r>
          </w:p>
        </w:tc>
      </w:tr>
      <w:tr>
        <w:trPr>
          <w:trHeight w:val="1" w:hRule="atLeast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21,56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18,37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 CYR" w:cs="Times New Roman"/>
          <w:lang w:val="en-US"/>
        </w:rPr>
      </w:pPr>
      <w:r>
        <w:rPr>
          <w:rFonts w:eastAsia="Times New Roman CYR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Число предпринимателей, считающих, что бизнесу стало проще преодолевать административные барьеры, в 2019г. увеличилось и составило 45,41%.  В то же время число предпринимателей, считающих, что административные барьеры отсутствуют, сократилось до 19,39% (в 2018г.-  22,75%). В 2019г., также, как и в 2018г., большое число респондентов затруднилось ответить на данный вопрос.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  <w:t>4. Оценка состояния конкуренции и конкурентной среды</w:t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  <w:t>4.1. Динамика изменения количества организаций, предоставляющих товары, работы и услуги по мнению потребителей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 xml:space="preserve">По результатам опроса потребителей в 2019 году количество предприятий и организации, предоставляющих товары, работы и услуги на рынках Конаковского района в течение последних 3 лет, изменилось следующим образом: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Таблица  14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</w:r>
    </w:p>
    <w:tbl>
      <w:tblPr>
        <w:tblW w:w="10596" w:type="dxa"/>
        <w:jc w:val="left"/>
        <w:tblInd w:w="-18" w:type="dxa"/>
        <w:tblCellMar>
          <w:top w:w="0" w:type="dxa"/>
          <w:left w:w="88" w:type="dxa"/>
          <w:bottom w:w="0" w:type="dxa"/>
          <w:right w:w="88" w:type="dxa"/>
        </w:tblCellMar>
        <w:tblLook w:firstRow="0" w:noVBand="0" w:lastRow="0" w:firstColumn="0" w:lastColumn="0" w:noHBand="0" w:val="0000"/>
      </w:tblPr>
      <w:tblGrid>
        <w:gridCol w:w="4075"/>
        <w:gridCol w:w="851"/>
        <w:gridCol w:w="708"/>
        <w:gridCol w:w="850"/>
        <w:gridCol w:w="710"/>
        <w:gridCol w:w="850"/>
        <w:gridCol w:w="851"/>
        <w:gridCol w:w="850"/>
        <w:gridCol w:w="850"/>
      </w:tblGrid>
      <w:tr>
        <w:trPr>
          <w:trHeight w:val="655" w:hRule="atLeast"/>
        </w:trPr>
        <w:tc>
          <w:tcPr>
            <w:tcW w:w="40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Снизилось, в %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Увеличилось, в %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Не изменилось, в % 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Затрудняюсь ответить, в %</w:t>
            </w:r>
          </w:p>
        </w:tc>
      </w:tr>
      <w:tr>
        <w:trPr>
          <w:trHeight w:val="382" w:hRule="atLeast"/>
        </w:trPr>
        <w:tc>
          <w:tcPr>
            <w:tcW w:w="40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  <w:bCs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59"/>
              <w:ind w:left="-100" w:firstLine="10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22,4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10,5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24,6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38,1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20,8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24,9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22,7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13,7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5,5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71,1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13,1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7,2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46,4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12,6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36,5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23,8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10,4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перевозок пассажиров наземным транспортом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31,7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12,0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1,7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32,0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33,3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50,3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12,6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7,2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9,9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35,9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44,8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27,1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23,8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15,8</w:t>
            </w:r>
          </w:p>
        </w:tc>
      </w:tr>
      <w:tr>
        <w:trPr>
          <w:trHeight w:val="283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32,6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28,2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right="3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20,2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Анализ результатов опроса показал: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- 9% опрошенных респондентов считают, что </w:t>
      </w:r>
      <w:r>
        <w:rPr>
          <w:rFonts w:eastAsia="Times New Roman CYR" w:cs="Times New Roman" w:ascii="Times New Roman" w:hAnsi="Times New Roman"/>
          <w:bCs/>
          <w:sz w:val="28"/>
          <w:szCs w:val="28"/>
        </w:rPr>
        <w:t>количество предприятий и организации, предоставляющих товары, работы и услуги на рынках Конаковского района в течение последних 3 лет снизилось;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- 28,3% - количество предприятий и организации, предоставляющих товары, работы и услуги на рынках Конаковского района в течение последних 3 лет увеличилось;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- 40,1% - количество предприятий и организации, предоставляющих товары, работы и услуги на рынках Конаковского района в течение последних 3 лет не изменилось;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>- 22,6% - затруднились с ответом.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 CYR" w:cs="Times New Roman"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Cs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-10" w:right="175" w:firstLine="69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  <w:t>4.2. Основные показатели</w:t>
      </w:r>
      <w:r>
        <w:rPr>
          <w:rFonts w:cs="Times New Roman" w:ascii="Times New Roman" w:hAnsi="Times New Roman"/>
          <w:b/>
          <w:bCs/>
          <w:sz w:val="28"/>
          <w:szCs w:val="28"/>
        </w:rPr>
        <w:t>, характеризующее условия ведения бизнеса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ab/>
        <w:t>Основная часть субъектов предпринимательства (35,71%), принявших участие в опросе, как и в 2018г., осуществляет деятельность на рынках товаров продуктов (товаров, услуг) с количеством конкурентов от четырех и более (в 2018г. 39,52%).</w:t>
      </w:r>
    </w:p>
    <w:p>
      <w:pPr>
        <w:pStyle w:val="Normal"/>
        <w:spacing w:lineRule="auto" w:line="240" w:before="0" w:after="0"/>
        <w:ind w:firstLine="45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Мнения респондентов, в отношении уровня конкуренции, разделились. В 2019 году сохранилась тенденция высокого уровня конкуренции. 31,18% опрошенных считают уровень конкуренции умеренным, 46,43% считают уровень конкуренции высокой и очень высокой.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Уровень конкуренции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15</w:t>
      </w:r>
    </w:p>
    <w:tbl>
      <w:tblPr>
        <w:tblStyle w:val="a6"/>
        <w:tblW w:w="10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7"/>
        <w:gridCol w:w="1701"/>
        <w:gridCol w:w="1666"/>
      </w:tblGrid>
      <w:tr>
        <w:trPr/>
        <w:tc>
          <w:tcPr>
            <w:tcW w:w="7337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eastAsia="Times New Roman CYR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2018г., %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2019г., %</w:t>
            </w:r>
          </w:p>
        </w:tc>
      </w:tr>
      <w:tr>
        <w:trPr/>
        <w:tc>
          <w:tcPr>
            <w:tcW w:w="7337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Style16"/>
                <w:b w:val="false"/>
                <w:sz w:val="24"/>
                <w:szCs w:val="24"/>
              </w:rPr>
              <w:t>Нет конкуренции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5,10</w:t>
            </w:r>
          </w:p>
        </w:tc>
      </w:tr>
      <w:tr>
        <w:trPr/>
        <w:tc>
          <w:tcPr>
            <w:tcW w:w="7337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Style w:val="Style16"/>
                <w:sz w:val="24"/>
                <w:szCs w:val="24"/>
              </w:rPr>
            </w:pPr>
            <w:r>
              <w:rPr>
                <w:rStyle w:val="Style16"/>
                <w:b w:val="false"/>
                <w:sz w:val="24"/>
                <w:szCs w:val="24"/>
              </w:rPr>
              <w:t>Слабая конкуренция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11,97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12,24</w:t>
            </w:r>
          </w:p>
        </w:tc>
      </w:tr>
      <w:tr>
        <w:trPr/>
        <w:tc>
          <w:tcPr>
            <w:tcW w:w="7337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Style w:val="Style16"/>
                <w:sz w:val="24"/>
                <w:szCs w:val="24"/>
              </w:rPr>
            </w:pPr>
            <w:r>
              <w:rPr>
                <w:rStyle w:val="Style16"/>
                <w:b w:val="false"/>
                <w:sz w:val="24"/>
                <w:szCs w:val="24"/>
              </w:rPr>
              <w:t>Умеренная конкуренция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34,18</w:t>
            </w:r>
          </w:p>
        </w:tc>
      </w:tr>
      <w:tr>
        <w:trPr/>
        <w:tc>
          <w:tcPr>
            <w:tcW w:w="7337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Style w:val="Style16"/>
                <w:sz w:val="24"/>
                <w:szCs w:val="24"/>
              </w:rPr>
            </w:pPr>
            <w:r>
              <w:rPr>
                <w:rStyle w:val="Style16"/>
                <w:b w:val="false"/>
                <w:sz w:val="24"/>
                <w:szCs w:val="24"/>
              </w:rPr>
              <w:t>Высокая конкуренция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29,08</w:t>
            </w:r>
          </w:p>
        </w:tc>
      </w:tr>
      <w:tr>
        <w:trPr/>
        <w:tc>
          <w:tcPr>
            <w:tcW w:w="7337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Style w:val="Style16"/>
                <w:sz w:val="24"/>
                <w:szCs w:val="24"/>
              </w:rPr>
            </w:pPr>
            <w:r>
              <w:rPr>
                <w:rStyle w:val="Style16"/>
                <w:b w:val="false"/>
                <w:sz w:val="24"/>
                <w:szCs w:val="24"/>
              </w:rPr>
              <w:t>Очень высокая конкуренция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13,77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17,35</w:t>
            </w:r>
          </w:p>
        </w:tc>
      </w:tr>
      <w:tr>
        <w:trPr/>
        <w:tc>
          <w:tcPr>
            <w:tcW w:w="7337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Style w:val="Style16"/>
                <w:b w:val="false"/>
                <w:b w:val="false"/>
                <w:sz w:val="24"/>
                <w:szCs w:val="24"/>
              </w:rPr>
            </w:pPr>
            <w:r>
              <w:rPr>
                <w:rStyle w:val="Style16"/>
                <w:b w:val="false"/>
                <w:sz w:val="24"/>
                <w:szCs w:val="24"/>
              </w:rPr>
              <w:t>Затрудняюсь ответить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Style16"/>
                <w:rFonts w:eastAsia="Calibri"/>
                <w:b w:val="false"/>
                <w:b w:val="false"/>
                <w:color w:val="00000A"/>
                <w:sz w:val="24"/>
                <w:szCs w:val="24"/>
                <w:lang w:eastAsia="en-US"/>
              </w:rPr>
            </w:pPr>
            <w:r>
              <w:rPr>
                <w:rStyle w:val="Style16"/>
                <w:rFonts w:eastAsia="Calibri"/>
                <w:b w:val="false"/>
                <w:color w:val="00000A"/>
                <w:sz w:val="24"/>
                <w:szCs w:val="24"/>
                <w:lang w:eastAsia="en-US"/>
              </w:rPr>
              <w:t>8,98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Style16"/>
                <w:rFonts w:eastAsia="Calibri"/>
                <w:b w:val="false"/>
                <w:b w:val="false"/>
                <w:color w:val="00000A"/>
                <w:sz w:val="24"/>
                <w:szCs w:val="24"/>
                <w:lang w:eastAsia="en-US"/>
              </w:rPr>
            </w:pPr>
            <w:r>
              <w:rPr>
                <w:rStyle w:val="Style16"/>
                <w:rFonts w:eastAsia="Calibri"/>
                <w:b w:val="false"/>
                <w:color w:val="00000A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firstLine="45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Для оценки деятельности органов власти на основном рынке для бизнеса, респондентам предлагались 6 вариантов ответов. </w:t>
      </w:r>
    </w:p>
    <w:p>
      <w:pPr>
        <w:pStyle w:val="Normal"/>
        <w:spacing w:lineRule="auto" w:line="240" w:before="0" w:after="0"/>
        <w:ind w:firstLine="45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Характеристика деятельности органов власти</w:t>
      </w:r>
    </w:p>
    <w:p>
      <w:pPr>
        <w:pStyle w:val="Normal"/>
        <w:spacing w:lineRule="auto" w:line="240" w:before="0" w:after="0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на основном рынке для бизнеса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16</w:t>
      </w:r>
    </w:p>
    <w:tbl>
      <w:tblPr>
        <w:tblStyle w:val="a6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89"/>
        <w:gridCol w:w="1666"/>
        <w:gridCol w:w="1633"/>
      </w:tblGrid>
      <w:tr>
        <w:trPr/>
        <w:tc>
          <w:tcPr>
            <w:tcW w:w="7189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2018г., %</w:t>
            </w:r>
          </w:p>
        </w:tc>
        <w:tc>
          <w:tcPr>
            <w:tcW w:w="16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2019г., %</w:t>
            </w:r>
          </w:p>
        </w:tc>
      </w:tr>
      <w:tr>
        <w:trPr/>
        <w:tc>
          <w:tcPr>
            <w:tcW w:w="7189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помогают бизнесу своими действиями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20,96</w:t>
            </w:r>
          </w:p>
        </w:tc>
        <w:tc>
          <w:tcPr>
            <w:tcW w:w="16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12,76</w:t>
            </w:r>
          </w:p>
        </w:tc>
      </w:tr>
      <w:tr>
        <w:trPr/>
        <w:tc>
          <w:tcPr>
            <w:tcW w:w="7189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ничего не предпринимают, что и требуется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16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9,18</w:t>
            </w:r>
          </w:p>
        </w:tc>
      </w:tr>
      <w:tr>
        <w:trPr/>
        <w:tc>
          <w:tcPr>
            <w:tcW w:w="7189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9,58</w:t>
            </w:r>
          </w:p>
        </w:tc>
        <w:tc>
          <w:tcPr>
            <w:tcW w:w="16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7,65</w:t>
            </w:r>
          </w:p>
        </w:tc>
      </w:tr>
      <w:tr>
        <w:trPr/>
        <w:tc>
          <w:tcPr>
            <w:tcW w:w="7189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только мешают бизнесу своими действиями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6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6,12</w:t>
            </w:r>
          </w:p>
        </w:tc>
      </w:tr>
      <w:tr>
        <w:trPr/>
        <w:tc>
          <w:tcPr>
            <w:tcW w:w="7189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чем-то органы власти помогают, в чем-то мешают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7,78</w:t>
            </w:r>
          </w:p>
        </w:tc>
        <w:tc>
          <w:tcPr>
            <w:tcW w:w="16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37,76</w:t>
            </w:r>
          </w:p>
        </w:tc>
      </w:tr>
      <w:tr>
        <w:trPr/>
        <w:tc>
          <w:tcPr>
            <w:tcW w:w="7189" w:type="dxa"/>
            <w:tcBorders/>
          </w:tcPr>
          <w:p>
            <w:pPr>
              <w:pStyle w:val="ListParagraph"/>
              <w:spacing w:lineRule="auto" w:line="24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40,12</w:t>
            </w:r>
          </w:p>
        </w:tc>
        <w:tc>
          <w:tcPr>
            <w:tcW w:w="16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24,49</w:t>
            </w:r>
          </w:p>
        </w:tc>
      </w:tr>
    </w:tbl>
    <w:p>
      <w:pPr>
        <w:pStyle w:val="Normal"/>
        <w:spacing w:lineRule="auto" w:line="240" w:before="0" w:after="0"/>
        <w:ind w:firstLine="45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В 2019г. наблюдается увеличение количества субъектов предпринимательской деятельности, считающих, что «в чем-то органы власти помогают, в чем-то мешают». </w:t>
      </w:r>
    </w:p>
    <w:p>
      <w:pPr>
        <w:pStyle w:val="Normal"/>
        <w:spacing w:lineRule="auto" w:line="240" w:before="0" w:after="0"/>
        <w:ind w:firstLine="454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8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5. Результаты проведенного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</w:t>
      </w:r>
    </w:p>
    <w:p>
      <w:pPr>
        <w:pStyle w:val="Normal"/>
        <w:spacing w:lineRule="auto" w:line="240" w:before="0" w:after="0"/>
        <w:ind w:firstLine="680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на рынках товаров, работ и услуг 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Уровень удовлетворенности качеством информации предпринимателями и потребителями рассчитывался отдельно, согласно следующей методике: в категорию «удовлетворен» попали все респонденты, которые ответили «качество удовлетворительное» и «качество скорее удовлетворительное». В категорию «не удовлетворен» попали все респонденты, ответившие «качество скорее неудовлетворительное» и «качество неудовлетворительное».  Данные опросов и расчетов представлены в Таблице 17.  </w:t>
      </w:r>
    </w:p>
    <w:p>
      <w:pPr>
        <w:pStyle w:val="Normal"/>
        <w:spacing w:lineRule="auto" w:line="240" w:before="0" w:after="0"/>
        <w:ind w:left="-10" w:right="175" w:firstLine="566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Из таблицы видно, что количество респондентов, удовлетворенных качеством официальной информации о состоянии конкурентной среды на рынках, товаров и услуг региона, составило порядка половины опрошенных.</w:t>
      </w:r>
    </w:p>
    <w:p>
      <w:pPr>
        <w:pStyle w:val="Normal"/>
        <w:spacing w:lineRule="auto" w:line="264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4"/>
        <w:ind w:left="135" w:right="195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Оценка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региона </w:t>
      </w:r>
    </w:p>
    <w:p>
      <w:pPr>
        <w:pStyle w:val="Normal"/>
        <w:spacing w:lineRule="auto" w:line="240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17</w:t>
      </w:r>
    </w:p>
    <w:p>
      <w:pPr>
        <w:pStyle w:val="Normal"/>
        <w:spacing w:lineRule="auto" w:line="240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 </w:t>
      </w:r>
    </w:p>
    <w:tbl>
      <w:tblPr>
        <w:tblW w:w="10566" w:type="dxa"/>
        <w:jc w:val="left"/>
        <w:tblInd w:w="-132" w:type="dxa"/>
        <w:tblCellMar>
          <w:top w:w="0" w:type="dxa"/>
          <w:left w:w="85" w:type="dxa"/>
          <w:bottom w:w="0" w:type="dxa"/>
          <w:right w:w="85" w:type="dxa"/>
        </w:tblCellMar>
        <w:tblLook w:firstRow="0" w:noVBand="0" w:lastRow="0" w:firstColumn="0" w:lastColumn="0" w:noHBand="0" w:val="0000"/>
      </w:tblPr>
      <w:tblGrid>
        <w:gridCol w:w="2626"/>
        <w:gridCol w:w="1777"/>
        <w:gridCol w:w="1059"/>
        <w:gridCol w:w="992"/>
        <w:gridCol w:w="993"/>
        <w:gridCol w:w="1134"/>
        <w:gridCol w:w="992"/>
        <w:gridCol w:w="991"/>
      </w:tblGrid>
      <w:tr>
        <w:trPr>
          <w:trHeight w:val="357" w:hRule="atLeast"/>
        </w:trPr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63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>Показатель</w:t>
            </w:r>
          </w:p>
        </w:tc>
        <w:tc>
          <w:tcPr>
            <w:tcW w:w="17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3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Категория ответа </w:t>
            </w:r>
          </w:p>
        </w:tc>
        <w:tc>
          <w:tcPr>
            <w:tcW w:w="2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44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Потребители 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48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Предприниматели </w:t>
            </w:r>
          </w:p>
        </w:tc>
        <w:tc>
          <w:tcPr>
            <w:tcW w:w="19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Среднее значение </w:t>
            </w:r>
          </w:p>
        </w:tc>
      </w:tr>
      <w:tr>
        <w:trPr>
          <w:trHeight w:val="277" w:hRule="atLeast"/>
        </w:trPr>
        <w:tc>
          <w:tcPr>
            <w:tcW w:w="26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177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8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2019г</w:t>
            </w:r>
          </w:p>
        </w:tc>
      </w:tr>
      <w:tr>
        <w:trPr>
          <w:trHeight w:val="395" w:hRule="atLeast"/>
        </w:trPr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КАЧЕСТВО 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ИНФОРМАЦИИ 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  <w:t>(</w:t>
            </w:r>
            <w:r>
              <w:rPr>
                <w:rFonts w:eastAsia="Times New Roman CYR" w:cs="Times New Roman" w:ascii="Times New Roman" w:hAnsi="Times New Roman"/>
              </w:rPr>
              <w:t xml:space="preserve">Уровень доступности) 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8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60,8%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70,5%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43,1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24,0%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2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52,0%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2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47,3%</w:t>
            </w:r>
          </w:p>
        </w:tc>
      </w:tr>
      <w:tr>
        <w:trPr>
          <w:trHeight w:val="475" w:hRule="atLeast"/>
        </w:trPr>
        <w:tc>
          <w:tcPr>
            <w:tcW w:w="2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14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не 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12,2%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8,7%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17,3%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7,6%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13%</w:t>
            </w:r>
          </w:p>
        </w:tc>
      </w:tr>
      <w:tr>
        <w:trPr>
          <w:trHeight w:val="359" w:hRule="atLeast"/>
        </w:trPr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КАЧЕСТВО 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ИНФОРМАЦИИ 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  <w:t>(</w:t>
            </w:r>
            <w:r>
              <w:rPr>
                <w:rFonts w:eastAsia="Times New Roman CYR" w:cs="Times New Roman" w:ascii="Times New Roman" w:hAnsi="Times New Roman"/>
              </w:rPr>
              <w:t xml:space="preserve">Уровень понятности) 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8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60,8%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69,4%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41,9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26,0%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2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51,6%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2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47,7%</w:t>
            </w:r>
          </w:p>
        </w:tc>
      </w:tr>
      <w:tr>
        <w:trPr>
          <w:trHeight w:val="444" w:hRule="atLeast"/>
        </w:trPr>
        <w:tc>
          <w:tcPr>
            <w:tcW w:w="2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14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не 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12,7%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9,8%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3,6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15,3%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9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8,2%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9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12,6%</w:t>
            </w:r>
          </w:p>
        </w:tc>
      </w:tr>
      <w:tr>
        <w:trPr>
          <w:trHeight w:val="349" w:hRule="atLeast"/>
        </w:trPr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КАЧЕСТВО 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ИНФОРМАЦИИ 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  <w:t>(</w:t>
            </w:r>
            <w:r>
              <w:rPr>
                <w:rFonts w:eastAsia="Times New Roman CYR" w:cs="Times New Roman" w:ascii="Times New Roman" w:hAnsi="Times New Roman"/>
              </w:rPr>
              <w:t xml:space="preserve">Удобство получения) 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8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59,7%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70,5%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40,1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22,5%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2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49,9%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2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46,5%</w:t>
            </w:r>
          </w:p>
        </w:tc>
      </w:tr>
      <w:tr>
        <w:trPr>
          <w:trHeight w:val="421" w:hRule="atLeast"/>
        </w:trPr>
        <w:tc>
          <w:tcPr>
            <w:tcW w:w="2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14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</w:rPr>
              <w:t xml:space="preserve">не 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13,6%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8,7%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4,8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46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18,8%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9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9,2%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left="89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13,8%</w:t>
            </w:r>
          </w:p>
        </w:tc>
      </w:tr>
    </w:tbl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По данным опроса потребителей товаров, работ и услуг в 2019г по всем показателям произошло повышение уровня удовлетворенности качества предоставляемой официальной информации. Опрошенные жители района довольно положительно оценивают качество находящейся в открытом доступе информации о состоянии конкурентной среды на рынках товаров, работ и услуг. Прослеживается позитивная динамика в изменении оценок уровня доступности (70,5% удовлетворительных оценок), понятности (69,4% удовлетворительных оценок) и получения (70,5% удовлетворительных оценок) официальной информации о состоянии конкурентной среды на рынках товаров, работ и услуг района. Около 26,5% опрошенных затруднились с ответом.</w:t>
      </w:r>
    </w:p>
    <w:p>
      <w:pPr>
        <w:pStyle w:val="Normal"/>
        <w:spacing w:lineRule="auto" w:line="264" w:before="0" w:after="0"/>
        <w:ind w:left="708" w:hanging="0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Порядка 25% предпринимателей, принявших участие в опросе, положительно оценили качество официальной информации о состоянии конкурентной среды на рынках товаров, работ и услуг региона, при этом показатель удовлетворенности значительно уменьшился на фоне повышения показателя неудовлетворенности. В связи с тем, что в 2019г. увеличилось количество опрошенных, сложно объективно оценить динамику данного показателя. </w:t>
      </w:r>
    </w:p>
    <w:p>
      <w:pPr>
        <w:pStyle w:val="Normal"/>
        <w:spacing w:lineRule="auto" w:line="252" w:before="240" w:after="3"/>
        <w:ind w:left="-15" w:right="170" w:firstLine="698"/>
        <w:jc w:val="center"/>
        <w:rPr>
          <w:rFonts w:ascii="Times New Roman" w:hAnsi="Times New Roman" w:eastAsia="Times New Roman CYR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sz w:val="28"/>
          <w:szCs w:val="28"/>
        </w:rPr>
        <w:t>6.</w:t>
      </w:r>
      <w:r>
        <w:rPr>
          <w:rFonts w:eastAsia="Times New Roman CYR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b/>
          <w:bCs/>
          <w:color w:val="000000"/>
          <w:sz w:val="28"/>
          <w:szCs w:val="28"/>
        </w:rPr>
        <w:t xml:space="preserve">Результаты проведенного ежегодного мониторинга деятельности субъектов естественных монополий на территории Конаковского района </w:t>
      </w:r>
    </w:p>
    <w:p>
      <w:pPr>
        <w:pStyle w:val="Normal"/>
        <w:spacing w:lineRule="auto" w:line="264" w:before="0" w:after="0"/>
        <w:ind w:left="708" w:hanging="0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680"/>
        <w:contextualSpacing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В процессе проведения опроса населением Конаковского района оценивалась деятельность естественных монополий. По характеристике каждой услуги были предложены следующие варианты ответов: удовлетворительно; скорее удовлетворительно; скорее неудовлетворительно; неудовлетворительно; затрудняюсь ответить. В категорию ответа «удовлетворен» включены ответы «удовлетворительно» и «скорее удовлетворительно». В категорию ответа «не удовлетворен» включены ответы «скорее неудовлетворительно» и «неудовлетворительно». Результаты опроса и выполненных расчетов представлены в таблице 18. </w:t>
      </w:r>
    </w:p>
    <w:p>
      <w:pPr>
        <w:pStyle w:val="Normal"/>
        <w:spacing w:lineRule="auto" w:line="240" w:before="0" w:after="0"/>
        <w:ind w:firstLine="680"/>
        <w:contextualSpacing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4"/>
        <w:ind w:left="300" w:right="402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Оценка потребителями качества услуг, предоставляемых</w:t>
      </w:r>
    </w:p>
    <w:p>
      <w:pPr>
        <w:pStyle w:val="Normal"/>
        <w:spacing w:lineRule="auto" w:line="264" w:before="0" w:after="16"/>
        <w:ind w:left="10" w:right="175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субъектами естественных монополий</w:t>
      </w:r>
    </w:p>
    <w:p>
      <w:pPr>
        <w:pStyle w:val="Normal"/>
        <w:spacing w:lineRule="auto" w:line="264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Таблица 18 </w:t>
      </w:r>
    </w:p>
    <w:tbl>
      <w:tblPr>
        <w:tblW w:w="10455" w:type="dxa"/>
        <w:jc w:val="left"/>
        <w:tblInd w:w="-27" w:type="dxa"/>
        <w:tblCellMar>
          <w:top w:w="0" w:type="dxa"/>
          <w:left w:w="80" w:type="dxa"/>
          <w:bottom w:w="0" w:type="dxa"/>
          <w:right w:w="80" w:type="dxa"/>
        </w:tblCellMar>
        <w:tblLook w:firstRow="0" w:noVBand="0" w:lastRow="0" w:firstColumn="0" w:lastColumn="0" w:noHBand="0" w:val="0000"/>
      </w:tblPr>
      <w:tblGrid>
        <w:gridCol w:w="5777"/>
        <w:gridCol w:w="1984"/>
        <w:gridCol w:w="1417"/>
        <w:gridCol w:w="1276"/>
      </w:tblGrid>
      <w:tr>
        <w:trPr>
          <w:trHeight w:val="421" w:hRule="atLeast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1"/>
              <w:ind w:left="85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Доля в %</w:t>
            </w:r>
          </w:p>
          <w:p>
            <w:pPr>
              <w:pStyle w:val="Normal"/>
              <w:spacing w:lineRule="auto" w:line="264" w:before="0" w:after="1"/>
              <w:ind w:left="85" w:hanging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</w:tr>
      <w:tr>
        <w:trPr>
          <w:trHeight w:val="237" w:hRule="atLeast"/>
        </w:trPr>
        <w:tc>
          <w:tcPr>
            <w:tcW w:w="577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0"/>
              <w:ind w:right="55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</w:tcPr>
          <w:p>
            <w:pPr>
              <w:pStyle w:val="Normal"/>
              <w:spacing w:lineRule="auto" w:line="264" w:before="0" w:after="1"/>
              <w:ind w:left="85" w:hanging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2019г.</w:t>
            </w:r>
          </w:p>
        </w:tc>
      </w:tr>
      <w:tr>
        <w:trPr>
          <w:trHeight w:val="293" w:hRule="atLeast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83,1</w:t>
            </w:r>
          </w:p>
        </w:tc>
      </w:tr>
      <w:tr>
        <w:trPr>
          <w:trHeight w:val="296" w:hRule="atLeast"/>
        </w:trPr>
        <w:tc>
          <w:tcPr>
            <w:tcW w:w="57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14,7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88,0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continue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7,1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Реализация природного газа (централизованное газоснабжение)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93,4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4,4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Реализация сжиженного газа (нецентрализованное газоснабжение)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32,2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continue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7,2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88,0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5,4</w:t>
            </w:r>
          </w:p>
        </w:tc>
      </w:tr>
      <w:tr>
        <w:trPr>
          <w:trHeight w:val="293" w:hRule="atLeast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91,3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7,6</w:t>
            </w:r>
          </w:p>
        </w:tc>
      </w:tr>
      <w:tr>
        <w:trPr>
          <w:trHeight w:val="293" w:hRule="atLeast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Телефонная связь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85,8</w:t>
            </w:r>
          </w:p>
        </w:tc>
      </w:tr>
      <w:tr>
        <w:trPr>
          <w:trHeight w:val="295" w:hRule="atLeast"/>
        </w:trPr>
        <w:tc>
          <w:tcPr>
            <w:tcW w:w="57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3,8</w:t>
            </w:r>
          </w:p>
        </w:tc>
      </w:tr>
    </w:tbl>
    <w:p>
      <w:pPr>
        <w:pStyle w:val="Normal"/>
        <w:spacing w:lineRule="auto" w:line="240" w:before="0" w:after="0"/>
        <w:ind w:left="-10" w:right="175" w:firstLine="698"/>
        <w:contextualSpacing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В целом потребители удовлетворены качеством услуг в сфере естественных монополий на территории района. Относительно низкими оценками была охарактеризована реализация сжиженного газа, так как большой процент опрошенных затруднились ответить на данный вопрос, в связи с тем, что многие проживают в домах с центральным газоснабжением либо в домах с электрическими плитами. </w:t>
      </w:r>
    </w:p>
    <w:p>
      <w:pPr>
        <w:pStyle w:val="Normal"/>
        <w:spacing w:lineRule="auto" w:line="264" w:before="0" w:after="0"/>
        <w:ind w:left="708" w:hanging="0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Так же проводилась оценка удовлетворенности предпринимателей услугами, предоставляемыми естественными монополиями по следующим критериям: 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- сроки получения доступа к услуге; 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- количество процедур подключения; 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- стоимость подключения. 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По каждой характеристике услуги допускалось 5 вариантов ответов: удовлетворительно; скорее удовлетворительно; скорее неудовлетворительно; неудовлетворительно; затрудняюсь ответить. В категорию ответа «удовлетворен» включены все ответы предпринимателей, которые высказались «удовлетворительно» и «скорее удовлетворительно». В категорию ответа «не удовлетворен» включены все ответы предпринимателей, которые высказались «скорее неудовлетворительно» и «неудовлетворительно». </w:t>
        <w:tab/>
        <w:t xml:space="preserve">Результаты </w:t>
        <w:tab/>
        <w:t xml:space="preserve">опроса и выполненных расчетов представлены в таблице 19. 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Субъекты предпринимательской деятельности удовлетворены сроками получения доступа предоставляемых услуг в сфере естественных монополий на территории района.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Относительно низкими оценками, также, как и в 2018г., была охарактеризована стоимость подключения услуг. </w:t>
      </w:r>
    </w:p>
    <w:p>
      <w:pPr>
        <w:pStyle w:val="Normal"/>
        <w:spacing w:lineRule="auto" w:line="264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Таблица 19 </w:t>
      </w:r>
    </w:p>
    <w:p>
      <w:pPr>
        <w:pStyle w:val="Normal"/>
        <w:spacing w:lineRule="auto" w:line="264" w:before="0" w:after="4"/>
        <w:ind w:left="300" w:right="402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Оценка предпринимателями качества услуг, предоставляемых</w:t>
      </w:r>
    </w:p>
    <w:p>
      <w:pPr>
        <w:pStyle w:val="Normal"/>
        <w:spacing w:lineRule="auto" w:line="264" w:before="0" w:after="4"/>
        <w:ind w:left="300" w:right="402" w:hanging="10"/>
        <w:jc w:val="center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 CYR" w:cs="Times New Roman" w:ascii="Times New Roman" w:hAnsi="Times New Roman"/>
          <w:sz w:val="28"/>
          <w:szCs w:val="28"/>
        </w:rPr>
        <w:t xml:space="preserve">субъектами естественных монополий  </w:t>
      </w:r>
    </w:p>
    <w:tbl>
      <w:tblPr>
        <w:tblW w:w="10093" w:type="dxa"/>
        <w:jc w:val="left"/>
        <w:tblInd w:w="335" w:type="dxa"/>
        <w:tblCellMar>
          <w:top w:w="0" w:type="dxa"/>
          <w:left w:w="80" w:type="dxa"/>
          <w:bottom w:w="0" w:type="dxa"/>
          <w:right w:w="80" w:type="dxa"/>
        </w:tblCellMar>
        <w:tblLook w:firstRow="0" w:noVBand="0" w:lastRow="0" w:firstColumn="0" w:lastColumn="0" w:noHBand="0" w:val="0000"/>
      </w:tblPr>
      <w:tblGrid>
        <w:gridCol w:w="5557"/>
        <w:gridCol w:w="1843"/>
        <w:gridCol w:w="1417"/>
        <w:gridCol w:w="1275"/>
      </w:tblGrid>
      <w:tr>
        <w:trPr>
          <w:trHeight w:val="748" w:hRule="atLeast"/>
        </w:trPr>
        <w:tc>
          <w:tcPr>
            <w:tcW w:w="5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1"/>
              <w:ind w:left="85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2018г, %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auto" w:val="clear"/>
            <w:vAlign w:val="center"/>
          </w:tcPr>
          <w:p>
            <w:pPr>
              <w:pStyle w:val="Normal"/>
              <w:spacing w:lineRule="auto" w:line="264" w:before="0" w:after="1"/>
              <w:ind w:left="85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  <w:p>
            <w:pPr>
              <w:pStyle w:val="Normal"/>
              <w:spacing w:lineRule="auto" w:line="264" w:before="0" w:after="1"/>
              <w:ind w:left="85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2019г., %</w:t>
            </w:r>
          </w:p>
          <w:p>
            <w:pPr>
              <w:pStyle w:val="Normal"/>
              <w:spacing w:lineRule="auto" w:line="264" w:before="0" w:after="0"/>
              <w:ind w:right="55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z w:val="24"/>
                <w:szCs w:val="24"/>
              </w:rPr>
              <w:t xml:space="preserve">Водоснабжение – сроки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12,8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Водоснабжение – сложность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8,2</w:t>
            </w:r>
          </w:p>
        </w:tc>
      </w:tr>
      <w:tr>
        <w:trPr>
          <w:trHeight w:val="296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Водоснабжение – стоимость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6,1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5,6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Водоотведение– сроки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11,8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3,1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>Водоотведение – сложность процедур подключения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5,1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4,1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Водоотведение – стоимость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6,2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Газоснабжение – сроки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7,7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right="8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Газоснабжение – сложность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5,1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4,1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Газоснабжение – стоимость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2,0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8,7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Электроснабжение – сроки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15,4</w:t>
            </w:r>
          </w:p>
        </w:tc>
      </w:tr>
      <w:tr>
        <w:trPr>
          <w:trHeight w:val="296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3,6</w:t>
            </w:r>
          </w:p>
        </w:tc>
      </w:tr>
      <w:tr>
        <w:trPr>
          <w:trHeight w:val="290" w:hRule="atLeast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Электроснабжение – сложность процедур подключения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46,0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11,8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4,1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Электроснабжение – стоимость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5,6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10,8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Теплоснабжение – сроки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11,2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Теплоснабжение – сложность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8,2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Теплоснабжение – стоимость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4,1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Телефонная связь – сроки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13,8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Телефонная связь – сложность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11,3</w:t>
            </w:r>
          </w:p>
        </w:tc>
      </w:tr>
      <w:tr>
        <w:trPr>
          <w:trHeight w:val="295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2,6</w:t>
            </w:r>
          </w:p>
        </w:tc>
      </w:tr>
      <w:tr>
        <w:trPr>
          <w:trHeight w:val="293" w:hRule="atLeast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left="1" w:hanging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</w:rPr>
              <w:t xml:space="preserve">Телефонная связь – стоимость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8,1</w:t>
            </w:r>
          </w:p>
        </w:tc>
      </w:tr>
      <w:tr>
        <w:trPr>
          <w:trHeight w:val="294" w:hRule="atLeast"/>
        </w:trPr>
        <w:tc>
          <w:tcPr>
            <w:tcW w:w="5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 CYR" w:cs="Times New Roman"/>
                <w:lang w:val="en-US"/>
              </w:rPr>
            </w:pPr>
            <w:r>
              <w:rPr>
                <w:rFonts w:eastAsia="Times New Roman CYR" w:cs="Times New Roman" w:ascii="Times New Roman" w:hAnsi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64" w:before="0" w:after="0"/>
              <w:ind w:right="57" w:hanging="0"/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eastAsia="Times New Roman CYR" w:cs="Times New Roman" w:ascii="Times New Roman" w:hAnsi="Times New Roman"/>
              </w:rPr>
              <w:t>5,6</w:t>
            </w:r>
          </w:p>
        </w:tc>
      </w:tr>
    </w:tbl>
    <w:p>
      <w:pPr>
        <w:pStyle w:val="Normal"/>
        <w:spacing w:lineRule="auto" w:line="252" w:before="0" w:after="40"/>
        <w:ind w:right="163" w:firstLine="566"/>
        <w:rPr>
          <w:rFonts w:ascii="Times New Roman" w:hAnsi="Times New Roman" w:eastAsia="Times New Roman CYR" w:cs="Times New Roman"/>
          <w:lang w:val="en-US"/>
        </w:rPr>
      </w:pPr>
      <w:r>
        <w:rPr>
          <w:rFonts w:eastAsia="Times New Roman CYR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В процессе опроса предпринимателей района выяснялось их мнение к процессу получения доступа (количество процедур, срок получения услуги и стоимость) к услугам естественных монополий. Порядка 67% опрошенных затруднились с ответом (41,4% в 2018 году). </w:t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Порядка 12,1% опрошенных удовлетворены сроками получения доступа к тем или иным услугам, 3,2% - не удовлетворены. Около 8,3% - удовлетворены количеством процедур подключения услуг, 3,5% - не удовлетворены. 5,4% опрошенных удовлетворены стоимостью подключения и 7,2% - не удовлетворены.  Результаты опросов свидетельствуют о том, что субъекты предпринимательской деятельности и потребители, в целом, положительно оценили деятельность субъектов естественных монополий на территории Конаковского района. В то же время относительно низкие оценки были выставлены за стоимость подключения. </w:t>
      </w:r>
    </w:p>
    <w:p>
      <w:pPr>
        <w:pStyle w:val="Normal"/>
        <w:spacing w:lineRule="auto" w:line="240" w:before="0" w:after="0"/>
        <w:ind w:left="-10" w:right="175" w:firstLine="698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16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Поступившие предложения</w:t>
      </w:r>
    </w:p>
    <w:p>
      <w:pPr>
        <w:pStyle w:val="ListParagraph"/>
        <w:spacing w:lineRule="auto" w:line="240" w:before="0" w:after="16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опроса респондентов и субъектов предпринимательской деятельности поступили предложения об улучшении эффективности и результативности исполнительных органов государственной власти органов и местного самоуправления МО «Конаковский район» Тверской области:</w:t>
      </w:r>
      <w:r>
        <w:br w:type="page"/>
      </w:r>
    </w:p>
    <w:p>
      <w:pPr>
        <w:pStyle w:val="Normal"/>
        <w:spacing w:lineRule="auto" w:line="264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Таблица 19 </w:t>
      </w:r>
    </w:p>
    <w:p>
      <w:pPr>
        <w:pStyle w:val="Normal"/>
        <w:spacing w:lineRule="auto" w:line="264" w:before="0" w:after="16"/>
        <w:ind w:left="10" w:right="175" w:hanging="10"/>
        <w:jc w:val="right"/>
        <w:rPr>
          <w:rFonts w:ascii="Times New Roman" w:hAnsi="Times New Roman" w:eastAsia="Times New Roman CYR" w:cs="Times New Roman"/>
          <w:sz w:val="16"/>
          <w:szCs w:val="16"/>
        </w:rPr>
      </w:pPr>
      <w:r>
        <w:rPr>
          <w:rFonts w:eastAsia="Times New Roman CYR" w:cs="Times New Roman" w:ascii="Times New Roman" w:hAnsi="Times New Roman"/>
          <w:sz w:val="16"/>
          <w:szCs w:val="16"/>
        </w:rPr>
      </w:r>
    </w:p>
    <w:tbl>
      <w:tblPr>
        <w:tblStyle w:val="a6"/>
        <w:tblW w:w="105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6"/>
        <w:gridCol w:w="2551"/>
      </w:tblGrid>
      <w:tr>
        <w:trPr>
          <w:trHeight w:val="556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2551" w:type="dxa"/>
            <w:tcBorders/>
          </w:tcPr>
          <w:p>
            <w:pPr>
              <w:pStyle w:val="ListParagraph"/>
              <w:ind w:left="0" w:hanging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% от общего числа ответивших</w:t>
            </w:r>
          </w:p>
        </w:tc>
      </w:tr>
      <w:tr>
        <w:trPr>
          <w:trHeight w:val="661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7,6</w:t>
            </w:r>
          </w:p>
        </w:tc>
      </w:tr>
      <w:tr>
        <w:trPr>
          <w:trHeight w:val="635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условий, при которых ни одна компания не сможет полностью диктовать условия на рынке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8,8</w:t>
            </w:r>
          </w:p>
        </w:tc>
      </w:tr>
      <w:tr>
        <w:trPr>
          <w:trHeight w:val="317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над ростом цен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17,4</w:t>
            </w:r>
          </w:p>
        </w:tc>
      </w:tr>
      <w:tr>
        <w:trPr>
          <w:trHeight w:val="317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качества продукции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18,6</w:t>
            </w:r>
          </w:p>
        </w:tc>
      </w:tr>
      <w:tr>
        <w:trPr>
          <w:trHeight w:val="317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условий добросовестной конкуренции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</w:t>
            </w:r>
          </w:p>
        </w:tc>
      </w:tr>
      <w:tr>
        <w:trPr>
          <w:trHeight w:val="317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Помощь начинающим предпринимателям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8,8</w:t>
            </w:r>
          </w:p>
        </w:tc>
      </w:tr>
      <w:tr>
        <w:trPr>
          <w:trHeight w:val="726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работы естественных монополий, таких как водоснабжение, электро- и теплоснабжение, железнодорожный и авиатранспорт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11,8</w:t>
            </w:r>
          </w:p>
        </w:tc>
      </w:tr>
      <w:tr>
        <w:trPr>
          <w:trHeight w:val="694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</w:tr>
      <w:tr>
        <w:trPr>
          <w:trHeight w:val="279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открытости процедур муниципальных конкурсов и закупок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635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Ведение учета обращений граждан, связанных с проблемами развития конкуренции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330" w:hRule="atLeast"/>
        </w:trPr>
        <w:tc>
          <w:tcPr>
            <w:tcW w:w="8046" w:type="dxa"/>
            <w:tcBorders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Юридическая защита предпринимателей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5,3</w:t>
            </w:r>
          </w:p>
        </w:tc>
      </w:tr>
    </w:tbl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же в ходе опроса субъекты предпринимательской деятельности </w:t>
      </w:r>
      <w:r>
        <w:rPr>
          <w:rFonts w:cs="Times New Roman" w:ascii="Times New Roman" w:hAnsi="Times New Roman"/>
          <w:bCs/>
          <w:sz w:val="28"/>
          <w:szCs w:val="28"/>
        </w:rPr>
        <w:t>охарактеризовали деятельность органов власти на основном рынке для бизнеса, который они представляют: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Таблица 20 </w:t>
      </w:r>
    </w:p>
    <w:tbl>
      <w:tblPr>
        <w:tblW w:w="10580" w:type="dxa"/>
        <w:jc w:val="left"/>
        <w:tblInd w:w="2" w:type="dxa"/>
        <w:tblCellMar>
          <w:top w:w="0" w:type="dxa"/>
          <w:left w:w="9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029"/>
        <w:gridCol w:w="2550"/>
      </w:tblGrid>
      <w:tr>
        <w:trPr>
          <w:trHeight w:val="340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органов власти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 от общего числа ответивших</w:t>
            </w:r>
          </w:p>
        </w:tc>
      </w:tr>
      <w:tr>
        <w:trPr>
          <w:trHeight w:val="385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помогают бизнесу своими действиями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12,7</w:t>
            </w:r>
          </w:p>
        </w:tc>
      </w:tr>
      <w:tr>
        <w:trPr>
          <w:trHeight w:val="340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ничего не предпринимают, что и требуется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9,2</w:t>
            </w:r>
          </w:p>
        </w:tc>
      </w:tr>
      <w:tr>
        <w:trPr>
          <w:trHeight w:val="340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7,7</w:t>
            </w:r>
          </w:p>
        </w:tc>
      </w:tr>
      <w:tr>
        <w:trPr>
          <w:trHeight w:val="340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власти только мешают бизнесу своими действиями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</w:t>
            </w:r>
          </w:p>
        </w:tc>
      </w:tr>
      <w:tr>
        <w:trPr>
          <w:trHeight w:val="340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чем-то органы власти помогают, в чем-то мешают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37,7</w:t>
            </w:r>
          </w:p>
        </w:tc>
      </w:tr>
      <w:tr>
        <w:trPr>
          <w:trHeight w:val="340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iCs/>
              </w:rPr>
              <w:t>Другое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(пожалуйста, укажите)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24,5</w:t>
            </w:r>
          </w:p>
        </w:tc>
      </w:tr>
    </w:tbl>
    <w:p>
      <w:pPr>
        <w:pStyle w:val="ListParagraph"/>
        <w:spacing w:lineRule="auto" w:line="276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Отчет о деятельности хозяйствующих субъектов,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доля участия муниципального образования «Конаковский район» Тверской области, в которых составляет 50% и более</w:t>
      </w:r>
    </w:p>
    <w:p>
      <w:pPr>
        <w:pStyle w:val="Normal"/>
        <w:spacing w:lineRule="auto" w:line="240" w:before="0" w:after="0"/>
        <w:ind w:left="-10" w:right="175" w:firstLine="698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На территории Конаковского района осуществляют деятельность 4 муниципальных унитарных предприятия, подведомственных Администрации Конаковского района Тверской области. Результаты их деятельности приведены в таблице.</w:t>
      </w:r>
    </w:p>
    <w:p>
      <w:pPr>
        <w:pStyle w:val="Normal"/>
        <w:spacing w:lineRule="auto" w:line="240" w:before="0" w:after="0"/>
        <w:ind w:left="-10" w:right="175" w:firstLine="698"/>
        <w:jc w:val="right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Таблица 21</w:t>
      </w:r>
    </w:p>
    <w:tbl>
      <w:tblPr>
        <w:tblW w:w="11624" w:type="dxa"/>
        <w:jc w:val="left"/>
        <w:tblInd w:w="-596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59"/>
        <w:gridCol w:w="850"/>
        <w:gridCol w:w="1135"/>
        <w:gridCol w:w="851"/>
        <w:gridCol w:w="849"/>
        <w:gridCol w:w="851"/>
        <w:gridCol w:w="850"/>
        <w:gridCol w:w="994"/>
        <w:gridCol w:w="849"/>
        <w:gridCol w:w="992"/>
        <w:gridCol w:w="901"/>
        <w:gridCol w:w="942"/>
      </w:tblGrid>
      <w:tr>
        <w:trPr/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хозяйст-вующего субъекта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13" w:firstLine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Рынок присут-</w:t>
            </w:r>
          </w:p>
          <w:p>
            <w:pPr>
              <w:pStyle w:val="Normal"/>
              <w:spacing w:lineRule="auto" w:line="240" w:before="0" w:after="0"/>
              <w:ind w:left="-113" w:firstLine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ствия (ОКВЭД)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13" w:firstLine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участия муници-пального образова</w:t>
            </w:r>
          </w:p>
          <w:p>
            <w:pPr>
              <w:pStyle w:val="Normal"/>
              <w:spacing w:lineRule="auto" w:line="240" w:before="0" w:after="0"/>
              <w:ind w:left="-113" w:firstLine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-ния (% уставном капитале)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финансирования из бюджета муниципального образования, тыс.рублей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выручки хозяйствующего субъекта, тыс. рублей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реализованных хозяйствующим субъектом товаров, работ и услуг в натуральном выражении (единиц) *</w:t>
            </w:r>
          </w:p>
        </w:tc>
      </w:tr>
      <w:tr>
        <w:trPr/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оценка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оценка</w:t>
            </w:r>
          </w:p>
        </w:tc>
      </w:tr>
      <w:tr>
        <w:trPr/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2019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МУП «Доркомсервис» МО «Конаковский район»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46 417,0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52 320,0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1 114,0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2 113,0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1 232,0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МУП «Центральная районная аптека №20» МО «Конаковский район»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47.73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120779,0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134895,0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126570,0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120779,0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134895,0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126570,0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МУП «СТЭК+» МО «Конаковский район»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56.29</w:t>
              <w:br/>
              <w:t>46.90</w:t>
              <w:br/>
              <w:t>47.11.2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63 880,0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66 901,0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69 092,0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126,439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140,41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143,011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МУП «Районные тепловые сети» МО «Конаковский район» Тверской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9217,4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16672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13804,1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12 766,0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33 652,0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33654,1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10,56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21,18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18,25</w:t>
            </w:r>
          </w:p>
        </w:tc>
      </w:tr>
    </w:tbl>
    <w:p>
      <w:pPr>
        <w:pStyle w:val="Normal"/>
        <w:spacing w:lineRule="auto" w:line="240" w:before="0" w:after="0"/>
        <w:ind w:left="-10" w:right="175" w:firstLine="698"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Проведенный мониторинг свидетельствует о том, что объем выручки хозяйствующих субъектов, доля участия МО «Конаковский район» Тверской области  в которых составляет 50 и более процентов, по итогам 2018г. составил 287 768 тыс.рублей, что на 18% больше, чем за аналогичный период в 2017г. П оценке, в 2019г. объем выручки планируется на уровне 2018г. и составит 283 616,1 тыс. рублей. По оценке, объем финансирования хозяйствующих субъектов из бюджета Конаковского района в 2019 г.  составит 13 804,1 тыс. рублей, что на 17,2% меньше объема финансирования 2018 года.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Важно отметить, что большинство хозяйствующих субъектов, доля участия МО «Конаковский район» Тверской области в которых составляет 50 и более процентов, не имеют конкуренции на рынке со стороны коммерческих организаций. </w:t>
      </w:r>
      <w:r>
        <w:br w:type="page"/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 xml:space="preserve">Планируемые мероприятия по развитию конкуренции </w:t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  <w:t>в МО «Конаковский район» Тверской области</w:t>
      </w:r>
    </w:p>
    <w:p>
      <w:pPr>
        <w:pStyle w:val="Normal"/>
        <w:spacing w:lineRule="auto" w:line="240" w:before="0" w:after="0"/>
        <w:ind w:left="-10" w:right="175" w:firstLine="698"/>
        <w:jc w:val="center"/>
        <w:rPr>
          <w:rFonts w:ascii="Times New Roman" w:hAnsi="Times New Roman" w:eastAsia="Times New Roman CYR" w:cs="Times New Roman"/>
          <w:b/>
          <w:b/>
          <w:bCs/>
          <w:sz w:val="28"/>
          <w:szCs w:val="28"/>
        </w:rPr>
      </w:pPr>
      <w:r>
        <w:rPr>
          <w:rFonts w:eastAsia="Times New Roman CYR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Основным аспектом в развитии Конаковского района является повышение конкурентоспособности. Неотъемлемой частью данного процесса является создание условий для развития конкуренции на товарных рынках.</w:t>
      </w:r>
    </w:p>
    <w:p>
      <w:pPr>
        <w:pStyle w:val="Normal"/>
        <w:shd w:val="clear" w:color="auto" w:fill="FFFFFF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В целях повышения конкурентоспособности и развития конкуренции в районе реализуется программа «Развитие малого и среднего предпринимательства в Конаковском районе» на 2018-2022гг., утвержденная Постановлением администрации Конаковского района Тверской области № 651 от 15.11.2017г. В соответствии с данной программой оказывается реальная финансовая поддержка субъектам малого предпринимательства по следующим направлениям:</w:t>
      </w:r>
    </w:p>
    <w:p>
      <w:pPr>
        <w:pStyle w:val="Normal"/>
        <w:shd w:val="clear" w:color="auto" w:fill="FFFFFF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п</w:t>
      </w:r>
      <w:r>
        <w:rPr>
          <w:rFonts w:eastAsia="Times New Roman" w:cs="Times New Roman" w:ascii="Times New Roman" w:hAnsi="Times New Roman"/>
          <w:sz w:val="28"/>
          <w:szCs w:val="28"/>
        </w:rPr>
        <w:t>редоставление грантов начинающим предпринимателям на организацию собственного дела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;</w:t>
      </w:r>
    </w:p>
    <w:p>
      <w:pPr>
        <w:pStyle w:val="Normal"/>
        <w:shd w:val="clear" w:color="auto" w:fill="FFFFFF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п</w:t>
      </w:r>
      <w:r>
        <w:rPr>
          <w:rFonts w:eastAsia="Times New Roman" w:cs="Times New Roman" w:ascii="Times New Roman" w:hAnsi="Times New Roman"/>
          <w:sz w:val="28"/>
          <w:szCs w:val="28"/>
        </w:rPr>
        <w:t>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новых рабочих мест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;</w:t>
      </w:r>
    </w:p>
    <w:p>
      <w:pPr>
        <w:pStyle w:val="Normal"/>
        <w:shd w:val="clear" w:color="auto" w:fill="FFFFFF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sz w:val="28"/>
          <w:szCs w:val="28"/>
        </w:rPr>
        <w:t>редоставление субсидий индивидуальным предпринимателям - производителям товаров, работ, услуг в целях возмещения части затрат на приобретение патента</w:t>
      </w:r>
    </w:p>
    <w:p>
      <w:pPr>
        <w:pStyle w:val="Normal"/>
        <w:shd w:val="clear" w:color="auto" w:fill="FFFFFF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В среднесрочный период на территории муниципального образования «Конаковский район» Тверской области будет продолжена работа по внедрению стандарта развития конкуренции, в рамках разработанной «дорожной карты».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Системные мероприятия по развитию конкуренции: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 CYR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1. Проведение процедуры оценки регулирующего воздействия проектов нормативно правовых актов МО «Конаковский район» Тверской области и экспертизы, действующих нормативных правовых актов МО «Конаковский район» Тверской области, затрагивающих вопросы осуществления предпринимательской и инвестиционной деятельности.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Размещение информации и документов, касающихся внедрения Стандарта на сайте МО «Конаковский район» Тверской области в информационно-телекоммуникационной сети Интернет в разделе «Стандарт развития конкуренции».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Проведение мониторинга удовлетворенности потребителей качеством товаров, работ и услуг на товарных рынках МО «Конаковский район» Тверской области и состоянием ценовой конкуренции.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Проведение мониторинга удовлетворенности субъектов предпринимательской деятельности на предмет оценки состояния и развития конкурентной среды на рынках товаров, работ и услуг МО «Конаковский район».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Проведение мониторинга деятельности хозяйствующих субъектов, доля участия МО «Конаковский район» Тверской области в которых составляет 50 и более процентов, осуществляющих деятельность на территории Конаковского района, с обозначением объема выручки.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 Подготовка проекта ежегодного доклада «Состояние и развитие конкурентной среды на рынках товаров и услуг МО «Конаковский район» Тверской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 w:cs="Times New Roman" w:ascii="Times New Roman" w:hAnsi="Times New Roman"/>
          <w:sz w:val="28"/>
          <w:szCs w:val="28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>Рассмотрение и утверждение ежегодного доклада «Состояние и развитие конкурентной среды на рынках товаров и услуг МО «Конаковский район» Тверской области» на комиссии по содействию развитию конкуренции и обеспечению социально-экономической стабильности в МО «Конаковский район»  Тверской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Размещение ежегодного доклада «Состояние и развитие конкурентной среды на рынках товаров и услуг МО «Конаковского района» Тверской области» на сайте МО «Конаковский район» Тверской области в информационно-телекоммуникационной сети Интернет в разделе "Стандарт развития конкуренции".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9. Внесение предложений по корректировке «дорожной карты» по содействию развития конкуренции в МО «Конаковский район» Тверской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Направление ежегодного доклада «Состояние и развитие конкурентной среды на рынках товаров и услуг МО «Конаковский район» Тверской области» в Министерство экономического развития Тверской области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Рассмотрение обращений субъектов предпринимательской деятельности, потребителей товаров, работ и услуг, общественных организаций, представляющих интересы потребителей, по вопросам содействия развитию конкуренции, относящимся к компетенции Администрации Конаковского района Тверской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Оказание консультативной помощи физическим лицам - потенциальным предпринимателям и субъектам предпринимательской деятельности по вопросам, относящимся к компетенции Администрации Конаковского района Тверской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0" w:right="175" w:firstLine="566"/>
        <w:jc w:val="both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lineRule="auto" w:line="252" w:before="0" w:after="28"/>
        <w:ind w:left="-15" w:right="170" w:firstLine="698"/>
        <w:jc w:val="both"/>
        <w:rPr>
          <w:rFonts w:ascii="Times New Roman" w:hAnsi="Times New Roman" w:eastAsia="Times New Roman CYR" w:cs="Times New Roman"/>
        </w:rPr>
      </w:pPr>
      <w:r>
        <w:rPr>
          <w:rFonts w:eastAsia="Times New Roman CYR"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134" w:right="618" w:header="0" w:top="851" w:footer="0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0c1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23a05"/>
    <w:rPr>
      <w:rFonts w:ascii="Tahoma" w:hAnsi="Tahoma" w:cs="Tahoma"/>
      <w:sz w:val="16"/>
      <w:szCs w:val="16"/>
    </w:rPr>
  </w:style>
  <w:style w:type="character" w:styleId="Style15" w:customStyle="1">
    <w:name w:val="Основной текст_"/>
    <w:basedOn w:val="DefaultParagraphFont"/>
    <w:link w:val="1"/>
    <w:uiPriority w:val="99"/>
    <w:qFormat/>
    <w:locked/>
    <w:rsid w:val="0016340f"/>
    <w:rPr>
      <w:rFonts w:ascii="Times New Roman" w:hAnsi="Times New Roman" w:cs="Times New Roman"/>
      <w:sz w:val="19"/>
      <w:szCs w:val="19"/>
      <w:shd w:fill="FFFFFF" w:val="clear"/>
    </w:rPr>
  </w:style>
  <w:style w:type="character" w:styleId="Style16" w:customStyle="1">
    <w:name w:val="Основной текст + Полужирный"/>
    <w:basedOn w:val="DefaultParagraphFont"/>
    <w:uiPriority w:val="99"/>
    <w:qFormat/>
    <w:rsid w:val="00207042"/>
    <w:rPr>
      <w:rFonts w:ascii="Times New Roman" w:hAnsi="Times New Roman" w:cs="Times New Roman"/>
      <w:b/>
      <w:bCs/>
      <w:spacing w:val="0"/>
      <w:sz w:val="19"/>
      <w:szCs w:val="19"/>
    </w:rPr>
  </w:style>
  <w:style w:type="character" w:styleId="4" w:customStyle="1">
    <w:name w:val="Основной текст (4) + Не курсив"/>
    <w:basedOn w:val="DefaultParagraphFont"/>
    <w:uiPriority w:val="99"/>
    <w:qFormat/>
    <w:rsid w:val="003278c5"/>
    <w:rPr>
      <w:rFonts w:ascii="Times New Roman" w:hAnsi="Times New Roman" w:cs="Times New Roman"/>
      <w:i/>
      <w:iCs/>
      <w:spacing w:val="0"/>
      <w:sz w:val="19"/>
      <w:szCs w:val="19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23a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0c32"/>
    <w:pPr>
      <w:spacing w:lineRule="auto" w:line="259" w:before="0" w:after="0"/>
      <w:ind w:left="720" w:hanging="0"/>
    </w:pPr>
    <w:rPr>
      <w:rFonts w:ascii="Calibri" w:hAnsi="Calibri" w:eastAsia="Calibri" w:cs="Calibri"/>
      <w:color w:val="00000A"/>
      <w:lang w:eastAsia="en-US"/>
    </w:rPr>
  </w:style>
  <w:style w:type="paragraph" w:styleId="1" w:customStyle="1">
    <w:name w:val="Основной текст1"/>
    <w:basedOn w:val="Normal"/>
    <w:link w:val="a7"/>
    <w:uiPriority w:val="99"/>
    <w:qFormat/>
    <w:rsid w:val="0016340f"/>
    <w:pPr>
      <w:shd w:val="clear" w:color="auto" w:fill="FFFFFF"/>
      <w:spacing w:lineRule="auto" w:line="240" w:before="0" w:after="0"/>
    </w:pPr>
    <w:rPr>
      <w:rFonts w:ascii="Times New Roman" w:hAnsi="Times New Roman" w:cs="Times New Roman"/>
      <w:sz w:val="19"/>
      <w:szCs w:val="19"/>
    </w:rPr>
  </w:style>
  <w:style w:type="paragraph" w:styleId="Style22" w:customStyle="1">
    <w:name w:val="Знак"/>
    <w:basedOn w:val="Normal"/>
    <w:qFormat/>
    <w:rsid w:val="00f158d1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6340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средние и малые предприятия (в том числе микропредприятия)</c:v>
                </c:pt>
              </c:strCache>
            </c:strRef>
          </c:tx>
          <c:spPr>
            <a:pattFill prst="ltVert">
              <a:fgClr>
                <a:srgbClr val="0d0d0d"/>
              </a:fgClr>
              <a:bgClr>
                <a:srgbClr val="ffffff"/>
              </a:bgClr>
            </a:pattFill>
            <a:ln>
              <a:solidFill>
                <a:srgbClr val="000000"/>
              </a:solidFill>
            </a:ln>
          </c:spPr>
          <c:invertIfNegative val="0"/>
          <c:dPt>
            <c:idx val="2"/>
            <c:invertIfNegative val="0"/>
            <c:spPr>
              <a:pattFill prst="ltVert">
                <a:fgClr>
                  <a:srgbClr val="0d0d0d"/>
                </a:fgClr>
                <a:bgClr>
                  <a:srgbClr val="ffffff"/>
                </a:bgClr>
              </a:pattFill>
              <a:ln>
                <a:solidFill>
                  <a:srgbClr val="000000"/>
                </a:solidFill>
              </a:ln>
            </c:spPr>
          </c:dPt>
          <c:dLbls>
            <c:numFmt formatCode="General" sourceLinked="0"/>
            <c:dLbl>
              <c:idx val="2"/>
              <c:numFmt formatCode="General" sourceLinked="0"/>
              <c:txPr>
                <a:bodyPr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/>
              <a:lstStyle/>
              <a:p>
                <a:pPr>
                  <a:defRPr b="0" sz="12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3"/>
                <c:pt idx="0">
                  <c:v>01.01.2017 г.</c:v>
                </c:pt>
                <c:pt idx="1">
                  <c:v>01.01.2018 г.</c:v>
                </c:pt>
                <c:pt idx="2">
                  <c:v>01.01.2019 г.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950</c:v>
                </c:pt>
                <c:pt idx="1">
                  <c:v>918</c:v>
                </c:pt>
                <c:pt idx="2">
                  <c:v>916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ИП + КФХ</c:v>
                </c:pt>
              </c:strCache>
            </c:strRef>
          </c:tx>
          <c:spPr>
            <a:pattFill prst="openDmnd">
              <a:fgClr>
                <a:srgbClr val="0d0d0d"/>
              </a:fgClr>
              <a:bgClr>
                <a:srgbClr val="ffffff"/>
              </a:bgClr>
            </a:pattFill>
            <a:ln>
              <a:solidFill>
                <a:srgbClr val="000000"/>
              </a:solidFill>
            </a:ln>
          </c:spPr>
          <c:invertIfNegative val="0"/>
          <c:dLbls>
            <c:numFmt formatCode="General" sourceLinked="0"/>
            <c:txPr>
              <a:bodyPr/>
              <a:lstStyle/>
              <a:p>
                <a:pPr>
                  <a:defRPr b="0" sz="12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3"/>
                <c:pt idx="0">
                  <c:v>01.01.2017 г.</c:v>
                </c:pt>
                <c:pt idx="1">
                  <c:v>01.01.2018 г.</c:v>
                </c:pt>
                <c:pt idx="2">
                  <c:v>01.01.2019 г.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2179</c:v>
                </c:pt>
                <c:pt idx="1">
                  <c:v>2164</c:v>
                </c:pt>
                <c:pt idx="2">
                  <c:v>2163</c:v>
                </c:pt>
              </c:numCache>
            </c:numRef>
          </c:val>
        </c:ser>
        <c:gapWidth val="150"/>
        <c:overlap val="0"/>
        <c:axId val="81474675"/>
        <c:axId val="31166907"/>
      </c:barChart>
      <c:catAx>
        <c:axId val="81474675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4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1166907"/>
        <c:crosses val="autoZero"/>
        <c:auto val="1"/>
        <c:lblAlgn val="ctr"/>
        <c:lblOffset val="100"/>
        <c:noMultiLvlLbl val="0"/>
      </c:catAx>
      <c:valAx>
        <c:axId val="31166907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1474675"/>
        <c:crosses val="autoZero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14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FA67-E5B2-45FE-8EFB-688F4F2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Application>LibreOffice/6.4.6.2$Windows_X86_64 LibreOffice_project/0ce51a4fd21bff07a5c061082cc82c5ed232f115</Application>
  <Pages>22</Pages>
  <Words>5572</Words>
  <Characters>36978</Characters>
  <CharactersWithSpaces>41387</CharactersWithSpaces>
  <Paragraphs>1456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2018-11-20T06:34:00Z</dcterms:created>
  <dc:creator>Специалист</dc:creator>
  <dc:description/>
  <dc:language>ru-RU</dc:language>
  <cp:lastModifiedBy/>
  <cp:lastPrinted>2019-12-26T11:03:00Z</cp:lastPrinted>
  <dcterms:modified xsi:type="dcterms:W3CDTF">2021-01-29T09:39:17Z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